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3" w:rsidRDefault="00F32940" w:rsidP="00F32940">
      <w:pPr>
        <w:pStyle w:val="Heading1"/>
        <w:rPr>
          <w:lang w:val="en-GB"/>
        </w:rPr>
      </w:pPr>
      <w:r>
        <w:rPr>
          <w:lang w:val="en-GB"/>
        </w:rPr>
        <w:t xml:space="preserve">Amendments to IWXXM required to meet planned </w:t>
      </w:r>
      <w:proofErr w:type="spellStart"/>
      <w:r>
        <w:rPr>
          <w:lang w:val="en-GB"/>
        </w:rPr>
        <w:t>Amd</w:t>
      </w:r>
      <w:proofErr w:type="spellEnd"/>
      <w:r>
        <w:rPr>
          <w:lang w:val="en-GB"/>
        </w:rPr>
        <w:t xml:space="preserve"> 78 (WMO change request  MM45)</w:t>
      </w:r>
    </w:p>
    <w:p w:rsidR="00F32940" w:rsidRDefault="00F32940" w:rsidP="00DB166C">
      <w:pPr>
        <w:rPr>
          <w:lang w:val="en-GB"/>
        </w:rPr>
      </w:pPr>
    </w:p>
    <w:p w:rsidR="00F32940" w:rsidRDefault="00F32940" w:rsidP="00DB166C">
      <w:pPr>
        <w:rPr>
          <w:lang w:val="en-GB"/>
        </w:rPr>
      </w:pPr>
    </w:p>
    <w:p w:rsidR="00F32940" w:rsidRDefault="00F32940" w:rsidP="00DB166C">
      <w:pPr>
        <w:rPr>
          <w:lang w:val="en-GB"/>
        </w:rPr>
      </w:pPr>
    </w:p>
    <w:p w:rsidR="00F32940" w:rsidRDefault="00F32940" w:rsidP="00DB166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3990"/>
        <w:gridCol w:w="2126"/>
        <w:gridCol w:w="4678"/>
      </w:tblGrid>
      <w:tr w:rsidR="00F32940" w:rsidTr="00392352">
        <w:trPr>
          <w:cantSplit/>
          <w:tblHeader/>
        </w:trPr>
        <w:tc>
          <w:tcPr>
            <w:tcW w:w="1107" w:type="dxa"/>
          </w:tcPr>
          <w:p w:rsidR="00F32940" w:rsidRPr="00F32940" w:rsidRDefault="00F32940" w:rsidP="00DB166C">
            <w:pPr>
              <w:rPr>
                <w:b/>
                <w:bCs/>
                <w:lang w:val="en-GB"/>
              </w:rPr>
            </w:pPr>
            <w:r w:rsidRPr="00F32940">
              <w:rPr>
                <w:b/>
                <w:bCs/>
                <w:lang w:val="en-GB"/>
              </w:rPr>
              <w:t>ICAO</w:t>
            </w:r>
            <w:r>
              <w:rPr>
                <w:b/>
                <w:bCs/>
                <w:lang w:val="en-GB"/>
              </w:rPr>
              <w:t xml:space="preserve"> (page, para)</w:t>
            </w:r>
          </w:p>
        </w:tc>
        <w:tc>
          <w:tcPr>
            <w:tcW w:w="1107" w:type="dxa"/>
          </w:tcPr>
          <w:p w:rsidR="00F32940" w:rsidRPr="00F32940" w:rsidRDefault="00F32940" w:rsidP="00DB166C">
            <w:pPr>
              <w:rPr>
                <w:b/>
                <w:bCs/>
                <w:lang w:val="en-GB"/>
              </w:rPr>
            </w:pPr>
            <w:r w:rsidRPr="00F32940">
              <w:rPr>
                <w:b/>
                <w:bCs/>
                <w:lang w:val="en-GB"/>
              </w:rPr>
              <w:t>Detail No</w:t>
            </w:r>
          </w:p>
        </w:tc>
        <w:tc>
          <w:tcPr>
            <w:tcW w:w="3990" w:type="dxa"/>
          </w:tcPr>
          <w:p w:rsidR="00F32940" w:rsidRPr="00F32940" w:rsidRDefault="00F32940" w:rsidP="00DB166C">
            <w:pPr>
              <w:rPr>
                <w:b/>
                <w:bCs/>
                <w:lang w:val="en-GB"/>
              </w:rPr>
            </w:pPr>
            <w:r w:rsidRPr="00F32940">
              <w:rPr>
                <w:b/>
                <w:bCs/>
                <w:lang w:val="en-GB"/>
              </w:rPr>
              <w:t>ICAO change</w:t>
            </w:r>
          </w:p>
        </w:tc>
        <w:tc>
          <w:tcPr>
            <w:tcW w:w="2126" w:type="dxa"/>
          </w:tcPr>
          <w:p w:rsidR="00F32940" w:rsidRPr="00F32940" w:rsidRDefault="00F32940" w:rsidP="00DB166C">
            <w:pPr>
              <w:rPr>
                <w:b/>
                <w:bCs/>
                <w:lang w:val="en-GB"/>
              </w:rPr>
            </w:pPr>
            <w:r w:rsidRPr="00F32940">
              <w:rPr>
                <w:b/>
                <w:bCs/>
                <w:lang w:val="en-GB"/>
              </w:rPr>
              <w:t>IWXXM component</w:t>
            </w:r>
          </w:p>
        </w:tc>
        <w:tc>
          <w:tcPr>
            <w:tcW w:w="4678" w:type="dxa"/>
          </w:tcPr>
          <w:p w:rsidR="00F32940" w:rsidRPr="00F32940" w:rsidRDefault="00F32940" w:rsidP="00DB166C">
            <w:pPr>
              <w:rPr>
                <w:b/>
                <w:bCs/>
                <w:lang w:val="en-GB"/>
              </w:rPr>
            </w:pPr>
            <w:r w:rsidRPr="00F32940">
              <w:rPr>
                <w:b/>
                <w:bCs/>
                <w:lang w:val="en-GB"/>
              </w:rPr>
              <w:t>Remarks</w:t>
            </w:r>
          </w:p>
        </w:tc>
      </w:tr>
      <w:tr w:rsidR="00F32940" w:rsidTr="00F32940">
        <w:tc>
          <w:tcPr>
            <w:tcW w:w="1107" w:type="dxa"/>
          </w:tcPr>
          <w:p w:rsidR="00F32940" w:rsidRDefault="00F32940" w:rsidP="00F32940">
            <w:pPr>
              <w:rPr>
                <w:lang w:val="en-GB"/>
              </w:rPr>
            </w:pPr>
            <w:r>
              <w:rPr>
                <w:lang w:val="en-GB"/>
              </w:rPr>
              <w:t>A-2/5.1 Note 1 bullet 2</w:t>
            </w:r>
          </w:p>
        </w:tc>
        <w:tc>
          <w:tcPr>
            <w:tcW w:w="1107" w:type="dxa"/>
          </w:tcPr>
          <w:p w:rsidR="00F32940" w:rsidRDefault="00F32940" w:rsidP="00DB166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990" w:type="dxa"/>
          </w:tcPr>
          <w:p w:rsidR="00F32940" w:rsidRDefault="00F32940" w:rsidP="00DB166C">
            <w:pPr>
              <w:rPr>
                <w:lang w:val="en-GB"/>
              </w:rPr>
            </w:pPr>
            <w:r>
              <w:rPr>
                <w:lang w:val="en-GB"/>
              </w:rPr>
              <w:t>IWXXM timeline:</w:t>
            </w:r>
          </w:p>
          <w:p w:rsidR="00F32940" w:rsidRDefault="00F32940" w:rsidP="00F32940">
            <w:pPr>
              <w:rPr>
                <w:lang w:val="en-GB"/>
              </w:rPr>
            </w:pPr>
            <w:r>
              <w:rPr>
                <w:lang w:val="en-GB"/>
              </w:rPr>
              <w:t>2018 Recommended practice for METAR/SPECI/Trend, TAF, VAA, TCA, SIGMET, AIRMET, Space Weather</w:t>
            </w:r>
          </w:p>
        </w:tc>
        <w:tc>
          <w:tcPr>
            <w:tcW w:w="2126" w:type="dxa"/>
          </w:tcPr>
          <w:p w:rsidR="00F32940" w:rsidRDefault="00F32940" w:rsidP="00DB166C">
            <w:pPr>
              <w:rPr>
                <w:lang w:val="en-GB"/>
              </w:rPr>
            </w:pPr>
            <w:r>
              <w:rPr>
                <w:lang w:val="en-GB"/>
              </w:rPr>
              <w:t>Space weather (new)</w:t>
            </w:r>
          </w:p>
        </w:tc>
        <w:tc>
          <w:tcPr>
            <w:tcW w:w="4678" w:type="dxa"/>
          </w:tcPr>
          <w:p w:rsidR="00F32940" w:rsidRDefault="00F32940" w:rsidP="006A176C">
            <w:pPr>
              <w:rPr>
                <w:lang w:val="en-GB"/>
              </w:rPr>
            </w:pPr>
            <w:r>
              <w:rPr>
                <w:lang w:val="en-GB"/>
              </w:rPr>
              <w:t xml:space="preserve">1. Proposed recommended practice SIX MONTHS after decision to implement. </w:t>
            </w:r>
            <w:r w:rsidR="006A176C">
              <w:rPr>
                <w:lang w:val="en-GB"/>
              </w:rPr>
              <w:t>This is n</w:t>
            </w:r>
            <w:r>
              <w:rPr>
                <w:lang w:val="en-GB"/>
              </w:rPr>
              <w:t>ot feasible.</w:t>
            </w:r>
          </w:p>
          <w:p w:rsidR="00F32940" w:rsidRDefault="00F32940" w:rsidP="00DB166C">
            <w:pPr>
              <w:rPr>
                <w:lang w:val="en-GB"/>
              </w:rPr>
            </w:pPr>
          </w:p>
          <w:p w:rsidR="00F32940" w:rsidRDefault="00F32940" w:rsidP="00F32940">
            <w:pPr>
              <w:rPr>
                <w:lang w:val="en-GB"/>
              </w:rPr>
            </w:pPr>
            <w:r>
              <w:rPr>
                <w:lang w:val="en-GB"/>
              </w:rPr>
              <w:t>2. Changes to other forms proposed in other items with different implementation times would require separate releases of IWXXM.</w:t>
            </w:r>
          </w:p>
        </w:tc>
      </w:tr>
      <w:tr w:rsidR="00F32940" w:rsidTr="00F32940">
        <w:tc>
          <w:tcPr>
            <w:tcW w:w="1107" w:type="dxa"/>
          </w:tcPr>
          <w:p w:rsidR="00F32940" w:rsidRDefault="00F32940" w:rsidP="00F32940">
            <w:pPr>
              <w:rPr>
                <w:lang w:val="en-GB"/>
              </w:rPr>
            </w:pPr>
            <w:r>
              <w:rPr>
                <w:lang w:val="en-GB"/>
              </w:rPr>
              <w:t>A-2/5.1 Note 1 bullet 2</w:t>
            </w:r>
          </w:p>
        </w:tc>
        <w:tc>
          <w:tcPr>
            <w:tcW w:w="1107" w:type="dxa"/>
          </w:tcPr>
          <w:p w:rsidR="00F32940" w:rsidRDefault="00F32940" w:rsidP="00DB166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990" w:type="dxa"/>
          </w:tcPr>
          <w:p w:rsidR="00F32940" w:rsidRDefault="00F32940" w:rsidP="00DB166C">
            <w:pPr>
              <w:rPr>
                <w:lang w:val="en-GB"/>
              </w:rPr>
            </w:pPr>
            <w:r>
              <w:rPr>
                <w:lang w:val="en-GB"/>
              </w:rPr>
              <w:t>IWXXM timeline:</w:t>
            </w:r>
          </w:p>
          <w:p w:rsidR="00F32940" w:rsidRDefault="00F32940" w:rsidP="00DB166C">
            <w:pPr>
              <w:rPr>
                <w:lang w:val="en-GB"/>
              </w:rPr>
            </w:pPr>
            <w:r>
              <w:rPr>
                <w:lang w:val="en-GB"/>
              </w:rPr>
              <w:t>2020: standard for METAR/SPECI/Trend, TAF, VAA, TCA, SIGMET, AIRMET, Space Weather</w:t>
            </w:r>
          </w:p>
        </w:tc>
        <w:tc>
          <w:tcPr>
            <w:tcW w:w="2126" w:type="dxa"/>
          </w:tcPr>
          <w:p w:rsidR="00F32940" w:rsidRDefault="00FE4184" w:rsidP="00DB166C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4678" w:type="dxa"/>
          </w:tcPr>
          <w:p w:rsidR="00F32940" w:rsidRDefault="00FE4184" w:rsidP="00DB166C">
            <w:pPr>
              <w:rPr>
                <w:lang w:val="en-GB"/>
              </w:rPr>
            </w:pPr>
            <w:r>
              <w:rPr>
                <w:lang w:val="en-GB"/>
              </w:rPr>
              <w:t>No technical changes to IWXXM</w:t>
            </w:r>
            <w:r w:rsidR="006A176C">
              <w:rPr>
                <w:lang w:val="en-GB"/>
              </w:rPr>
              <w:t xml:space="preserve"> purely to make IWXXM a standard practice. However, operational exchange will need to have been demonstrated well in advance.</w:t>
            </w:r>
          </w:p>
        </w:tc>
      </w:tr>
      <w:tr w:rsidR="00FE4184" w:rsidTr="00F32940">
        <w:tc>
          <w:tcPr>
            <w:tcW w:w="1107" w:type="dxa"/>
          </w:tcPr>
          <w:p w:rsidR="00FE4184" w:rsidRDefault="00FE4184" w:rsidP="00F32940">
            <w:pPr>
              <w:rPr>
                <w:lang w:val="en-GB"/>
              </w:rPr>
            </w:pPr>
            <w:r>
              <w:rPr>
                <w:lang w:val="en-GB"/>
              </w:rPr>
              <w:t>B-5 Table A2-3</w:t>
            </w:r>
          </w:p>
        </w:tc>
        <w:tc>
          <w:tcPr>
            <w:tcW w:w="1107" w:type="dxa"/>
          </w:tcPr>
          <w:p w:rsidR="00FE4184" w:rsidRDefault="00FE4184" w:rsidP="00DB166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990" w:type="dxa"/>
          </w:tcPr>
          <w:p w:rsidR="00FE4184" w:rsidRDefault="00FE4184" w:rsidP="00DB166C">
            <w:pPr>
              <w:rPr>
                <w:lang w:val="en-GB"/>
              </w:rPr>
            </w:pPr>
            <w:r>
              <w:rPr>
                <w:lang w:val="en-GB"/>
              </w:rPr>
              <w:t>Contents of Space weather advisory</w:t>
            </w:r>
          </w:p>
        </w:tc>
        <w:tc>
          <w:tcPr>
            <w:tcW w:w="2126" w:type="dxa"/>
          </w:tcPr>
          <w:p w:rsidR="00FE4184" w:rsidRDefault="00FE4184" w:rsidP="00DB166C">
            <w:pPr>
              <w:rPr>
                <w:lang w:val="en-GB"/>
              </w:rPr>
            </w:pPr>
            <w:r>
              <w:rPr>
                <w:lang w:val="en-GB"/>
              </w:rPr>
              <w:t>Space weather (new)</w:t>
            </w:r>
          </w:p>
        </w:tc>
        <w:tc>
          <w:tcPr>
            <w:tcW w:w="4678" w:type="dxa"/>
          </w:tcPr>
          <w:p w:rsidR="00FE4184" w:rsidRDefault="00FE4184" w:rsidP="00DB166C">
            <w:pPr>
              <w:rPr>
                <w:lang w:val="en-GB"/>
              </w:rPr>
            </w:pPr>
            <w:r>
              <w:rPr>
                <w:lang w:val="en-GB"/>
              </w:rPr>
              <w:t>1. Definition in the State Letter is TAC approach.</w:t>
            </w:r>
          </w:p>
          <w:p w:rsidR="00FE4184" w:rsidRDefault="00FE4184" w:rsidP="00392352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="00392352">
              <w:rPr>
                <w:lang w:val="en-GB"/>
              </w:rPr>
              <w:t>Definitions of latitude bands is at B-11 Attachment E</w:t>
            </w:r>
          </w:p>
          <w:p w:rsidR="00FE4184" w:rsidRDefault="00FE4184" w:rsidP="00FE4184">
            <w:pPr>
              <w:rPr>
                <w:lang w:val="en-GB"/>
              </w:rPr>
            </w:pPr>
            <w:r>
              <w:rPr>
                <w:lang w:val="en-GB"/>
              </w:rPr>
              <w:t>3. “Daylight side” concept thought not to be  available in GML as a definition of area – application programs will not recognize it</w:t>
            </w:r>
            <w:r w:rsidR="009C6AF1">
              <w:rPr>
                <w:lang w:val="en-GB"/>
              </w:rPr>
              <w:t xml:space="preserve"> (but could be represented by a circle?). “Daylight side” might be a description (coded) associated with the phenomenon</w:t>
            </w:r>
          </w:p>
          <w:p w:rsidR="00FE4184" w:rsidRDefault="00FE4184" w:rsidP="00FE4184">
            <w:pPr>
              <w:rPr>
                <w:lang w:val="en-GB"/>
              </w:rPr>
            </w:pPr>
            <w:r>
              <w:rPr>
                <w:lang w:val="en-GB"/>
              </w:rPr>
              <w:t xml:space="preserve">4. Need to use same structure in IWXXM as for other advisories. </w:t>
            </w:r>
          </w:p>
          <w:p w:rsidR="00FE4184" w:rsidRDefault="00FE4184" w:rsidP="00FE4184">
            <w:pPr>
              <w:rPr>
                <w:lang w:val="en-GB"/>
              </w:rPr>
            </w:pPr>
            <w:r>
              <w:rPr>
                <w:lang w:val="en-GB"/>
              </w:rPr>
              <w:t xml:space="preserve">5. Example payload (free text) is not suited </w:t>
            </w:r>
            <w:r>
              <w:rPr>
                <w:lang w:val="en-GB"/>
              </w:rPr>
              <w:lastRenderedPageBreak/>
              <w:t>to machine processing. Need categorization of impact types and impact levels.</w:t>
            </w:r>
          </w:p>
          <w:p w:rsidR="00FE4184" w:rsidRDefault="00FE4184" w:rsidP="00FE4184">
            <w:pPr>
              <w:rPr>
                <w:lang w:val="en-GB"/>
              </w:rPr>
            </w:pPr>
            <w:r>
              <w:rPr>
                <w:lang w:val="en-GB"/>
              </w:rPr>
              <w:t>6. If it is intended to provide additional information through a URL, the URL should be an (optional) element in the message.</w:t>
            </w:r>
          </w:p>
          <w:p w:rsidR="00392352" w:rsidRDefault="00392352" w:rsidP="00FE4184">
            <w:pPr>
              <w:rPr>
                <w:lang w:val="en-GB"/>
              </w:rPr>
            </w:pPr>
            <w:r>
              <w:rPr>
                <w:lang w:val="en-GB"/>
              </w:rPr>
              <w:t>7. Forecast is at specific times, not a path (in examples, “daylight side” could be represented by the disc facing the sun (a circle around the sub-solar point)). Is a path what is intended or are both paths and time series required?</w:t>
            </w:r>
          </w:p>
          <w:p w:rsidR="009C6AF1" w:rsidRDefault="00392352" w:rsidP="00A04BAD">
            <w:pPr>
              <w:rPr>
                <w:lang w:val="en-GB"/>
              </w:rPr>
            </w:pPr>
            <w:r>
              <w:rPr>
                <w:lang w:val="en-GB"/>
              </w:rPr>
              <w:t xml:space="preserve">8. </w:t>
            </w:r>
            <w:r w:rsidR="009C6AF1">
              <w:rPr>
                <w:lang w:val="en-GB"/>
              </w:rPr>
              <w:t>Do we want to have detailed (complex boundaries) or is it possible to use “intersection” of two or more areas to simplify the descriptions (</w:t>
            </w:r>
            <w:proofErr w:type="spellStart"/>
            <w:r w:rsidR="009C6AF1">
              <w:rPr>
                <w:lang w:val="en-GB"/>
              </w:rPr>
              <w:t>eg</w:t>
            </w:r>
            <w:proofErr w:type="spellEnd"/>
            <w:r w:rsidR="009C6AF1">
              <w:rPr>
                <w:lang w:val="en-GB"/>
              </w:rPr>
              <w:t xml:space="preserve"> intersection of “daylight side” circle with zonal band).</w:t>
            </w:r>
          </w:p>
          <w:p w:rsidR="00A04BAD" w:rsidRDefault="00A04BAD" w:rsidP="00A04BAD">
            <w:pPr>
              <w:rPr>
                <w:lang w:val="en-GB"/>
              </w:rPr>
            </w:pPr>
            <w:r>
              <w:rPr>
                <w:lang w:val="en-GB"/>
              </w:rPr>
              <w:t>9. Do we want to limit ourselves to forecasts at 6h intervals? What if a phenomenon stops – is the absence of a forecast period an absence of the phenomenon, or just a lack of forecast? Do we want to escribe the trajectory of the phenomenon?</w:t>
            </w:r>
          </w:p>
        </w:tc>
      </w:tr>
      <w:tr w:rsidR="00FE4184" w:rsidTr="00F32940">
        <w:tc>
          <w:tcPr>
            <w:tcW w:w="1107" w:type="dxa"/>
          </w:tcPr>
          <w:p w:rsidR="00FE4184" w:rsidRDefault="00392352" w:rsidP="00F3294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B-11 </w:t>
            </w:r>
            <w:proofErr w:type="spellStart"/>
            <w:r>
              <w:rPr>
                <w:lang w:val="en-GB"/>
              </w:rPr>
              <w:t>Att</w:t>
            </w:r>
            <w:proofErr w:type="spellEnd"/>
            <w:r>
              <w:rPr>
                <w:lang w:val="en-GB"/>
              </w:rPr>
              <w:t xml:space="preserve"> E</w:t>
            </w:r>
          </w:p>
        </w:tc>
        <w:tc>
          <w:tcPr>
            <w:tcW w:w="1107" w:type="dxa"/>
          </w:tcPr>
          <w:p w:rsidR="00FE4184" w:rsidRDefault="00392352" w:rsidP="00DB166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990" w:type="dxa"/>
          </w:tcPr>
          <w:p w:rsidR="00FE4184" w:rsidRDefault="00392352" w:rsidP="00DB166C">
            <w:pPr>
              <w:rPr>
                <w:lang w:val="en-GB"/>
              </w:rPr>
            </w:pPr>
            <w:r>
              <w:rPr>
                <w:lang w:val="en-GB"/>
              </w:rPr>
              <w:t>Table of latitude bands</w:t>
            </w:r>
          </w:p>
        </w:tc>
        <w:tc>
          <w:tcPr>
            <w:tcW w:w="2126" w:type="dxa"/>
          </w:tcPr>
          <w:p w:rsidR="00FE4184" w:rsidRDefault="00392352" w:rsidP="00DB166C">
            <w:pPr>
              <w:rPr>
                <w:lang w:val="en-GB"/>
              </w:rPr>
            </w:pPr>
            <w:r>
              <w:rPr>
                <w:lang w:val="en-GB"/>
              </w:rPr>
              <w:t>codes.wmo.int</w:t>
            </w:r>
          </w:p>
        </w:tc>
        <w:tc>
          <w:tcPr>
            <w:tcW w:w="4678" w:type="dxa"/>
          </w:tcPr>
          <w:p w:rsidR="00FE4184" w:rsidRDefault="00392352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proofErr w:type="spellStart"/>
            <w:r>
              <w:rPr>
                <w:lang w:val="en-GB"/>
              </w:rPr>
              <w:t>Gazeteer</w:t>
            </w:r>
            <w:proofErr w:type="spellEnd"/>
            <w:r>
              <w:rPr>
                <w:lang w:val="en-GB"/>
              </w:rPr>
              <w:t xml:space="preserve"> needed for conversion from TAC to IWXXM (codes.wmo.int – but software changes may be required)</w:t>
            </w:r>
            <w:r w:rsidR="009C6AF1">
              <w:rPr>
                <w:lang w:val="en-GB"/>
              </w:rPr>
              <w:t xml:space="preserve">. Reverse </w:t>
            </w:r>
          </w:p>
          <w:p w:rsidR="00392352" w:rsidRDefault="00392352" w:rsidP="009C6AF1">
            <w:pPr>
              <w:rPr>
                <w:lang w:val="en-GB"/>
              </w:rPr>
            </w:pPr>
            <w:r>
              <w:rPr>
                <w:lang w:val="en-GB"/>
              </w:rPr>
              <w:t xml:space="preserve">2. IWXXM would code bands </w:t>
            </w:r>
            <w:r w:rsidR="009C6AF1">
              <w:rPr>
                <w:lang w:val="en-GB"/>
              </w:rPr>
              <w:t>as areas</w:t>
            </w:r>
            <w:r>
              <w:rPr>
                <w:lang w:val="en-GB"/>
              </w:rPr>
              <w:t xml:space="preserve"> within message</w:t>
            </w:r>
            <w:r w:rsidR="0018692A">
              <w:rPr>
                <w:lang w:val="en-GB"/>
              </w:rPr>
              <w:t xml:space="preserve"> to allow automated processing of the messages and combination with other information sources</w:t>
            </w:r>
            <w:r>
              <w:rPr>
                <w:lang w:val="en-GB"/>
              </w:rPr>
              <w:t>.</w:t>
            </w:r>
          </w:p>
        </w:tc>
      </w:tr>
      <w:tr w:rsidR="00392352" w:rsidTr="00F32940">
        <w:tc>
          <w:tcPr>
            <w:tcW w:w="1107" w:type="dxa"/>
          </w:tcPr>
          <w:p w:rsidR="00392352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B-14 Table A6-1A</w:t>
            </w:r>
          </w:p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last entries in columns 3 &amp; 4</w:t>
            </w:r>
          </w:p>
        </w:tc>
        <w:tc>
          <w:tcPr>
            <w:tcW w:w="1107" w:type="dxa"/>
          </w:tcPr>
          <w:p w:rsidR="00392352" w:rsidRDefault="00BF41B9" w:rsidP="00DB166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990" w:type="dxa"/>
          </w:tcPr>
          <w:p w:rsidR="00392352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Add “within </w:t>
            </w:r>
            <w:proofErr w:type="spellStart"/>
            <w:r>
              <w:rPr>
                <w:lang w:val="en-GB"/>
              </w:rPr>
              <w:t>xxM</w:t>
            </w:r>
            <w:proofErr w:type="spellEnd"/>
            <w:r>
              <w:rPr>
                <w:lang w:val="en-GB"/>
              </w:rPr>
              <w:t xml:space="preserve"> or </w:t>
            </w:r>
            <w:proofErr w:type="spellStart"/>
            <w:r>
              <w:rPr>
                <w:lang w:val="en-GB"/>
              </w:rPr>
              <w:t>xxKM</w:t>
            </w:r>
            <w:proofErr w:type="spellEnd"/>
            <w:r>
              <w:rPr>
                <w:lang w:val="en-GB"/>
              </w:rPr>
              <w:t xml:space="preserve"> of </w:t>
            </w:r>
            <w:proofErr w:type="spellStart"/>
            <w:r>
              <w:rPr>
                <w:lang w:val="en-GB"/>
              </w:rPr>
              <w:t>lat</w:t>
            </w:r>
            <w:proofErr w:type="spellEnd"/>
            <w:r>
              <w:rPr>
                <w:lang w:val="en-GB"/>
              </w:rPr>
              <w:t>/long” option</w:t>
            </w:r>
          </w:p>
        </w:tc>
        <w:tc>
          <w:tcPr>
            <w:tcW w:w="2126" w:type="dxa"/>
          </w:tcPr>
          <w:p w:rsidR="00392352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SIGMET/AIRMET</w:t>
            </w:r>
          </w:p>
        </w:tc>
        <w:tc>
          <w:tcPr>
            <w:tcW w:w="4678" w:type="dxa"/>
          </w:tcPr>
          <w:p w:rsidR="00392352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1. Either allow intersection of FIR with circle around a fixed point, or define using a polygon.</w:t>
            </w:r>
          </w:p>
        </w:tc>
      </w:tr>
      <w:tr w:rsidR="0072620A" w:rsidTr="00F32940">
        <w:tc>
          <w:tcPr>
            <w:tcW w:w="1107" w:type="dxa"/>
          </w:tcPr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B-15, B-16</w:t>
            </w:r>
          </w:p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Table A6-1A</w:t>
            </w:r>
          </w:p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last entries in columns 5 &amp; 6</w:t>
            </w:r>
          </w:p>
        </w:tc>
        <w:tc>
          <w:tcPr>
            <w:tcW w:w="1107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990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Allow “WI” of </w:t>
            </w:r>
            <w:proofErr w:type="spellStart"/>
            <w:r>
              <w:rPr>
                <w:lang w:val="en-GB"/>
              </w:rPr>
              <w:t>lat</w:t>
            </w:r>
            <w:proofErr w:type="spellEnd"/>
            <w:r>
              <w:rPr>
                <w:lang w:val="en-GB"/>
              </w:rPr>
              <w:t>/long</w:t>
            </w:r>
          </w:p>
        </w:tc>
        <w:tc>
          <w:tcPr>
            <w:tcW w:w="2126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SIGMET</w:t>
            </w:r>
          </w:p>
        </w:tc>
        <w:tc>
          <w:tcPr>
            <w:tcW w:w="4678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1. Either allow intersection of FIR with circle around a fixed point, or define using a polygon.</w:t>
            </w:r>
          </w:p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2. OBS to FCST is really a trajectory (</w:t>
            </w:r>
            <w:proofErr w:type="spellStart"/>
            <w:r>
              <w:rPr>
                <w:lang w:val="en-GB"/>
              </w:rPr>
              <w:t>TimeseriesML</w:t>
            </w:r>
            <w:proofErr w:type="spellEnd"/>
            <w:r>
              <w:rPr>
                <w:lang w:val="en-GB"/>
              </w:rPr>
              <w:t xml:space="preserve">?, representation as used for vehicles in other domains? - </w:t>
            </w:r>
            <w:proofErr w:type="spellStart"/>
            <w:r>
              <w:rPr>
                <w:lang w:val="en-GB"/>
              </w:rPr>
              <w:t>iwxxm</w:t>
            </w:r>
            <w:proofErr w:type="spellEnd"/>
            <w:r>
              <w:rPr>
                <w:lang w:val="en-GB"/>
              </w:rPr>
              <w:t xml:space="preserve"> 3 enhancement?)</w:t>
            </w:r>
          </w:p>
        </w:tc>
      </w:tr>
      <w:tr w:rsidR="0072620A" w:rsidTr="00F32940">
        <w:tc>
          <w:tcPr>
            <w:tcW w:w="1107" w:type="dxa"/>
          </w:tcPr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B-17</w:t>
            </w:r>
          </w:p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Table A2-1</w:t>
            </w:r>
          </w:p>
        </w:tc>
        <w:tc>
          <w:tcPr>
            <w:tcW w:w="1107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990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Introduce message class (exercise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72620A" w:rsidRDefault="0053540B" w:rsidP="00DB166C">
            <w:pPr>
              <w:rPr>
                <w:lang w:val="en-GB"/>
              </w:rPr>
            </w:pPr>
            <w:r>
              <w:rPr>
                <w:lang w:val="en-GB"/>
              </w:rPr>
              <w:t>VAA</w:t>
            </w:r>
          </w:p>
        </w:tc>
        <w:tc>
          <w:tcPr>
            <w:tcW w:w="4678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included in </w:t>
            </w:r>
            <w:proofErr w:type="spellStart"/>
            <w:r>
              <w:rPr>
                <w:lang w:val="en-GB"/>
              </w:rPr>
              <w:t>iwxxm</w:t>
            </w:r>
            <w:proofErr w:type="spellEnd"/>
            <w:r>
              <w:rPr>
                <w:lang w:val="en-GB"/>
              </w:rPr>
              <w:t xml:space="preserve"> 2</w:t>
            </w:r>
          </w:p>
        </w:tc>
      </w:tr>
      <w:tr w:rsidR="0072620A" w:rsidTr="00F32940">
        <w:tc>
          <w:tcPr>
            <w:tcW w:w="1107" w:type="dxa"/>
          </w:tcPr>
          <w:p w:rsidR="0072620A" w:rsidRDefault="0072620A" w:rsidP="0072620A">
            <w:pPr>
              <w:rPr>
                <w:lang w:val="en-GB"/>
              </w:rPr>
            </w:pPr>
            <w:r>
              <w:rPr>
                <w:lang w:val="en-GB"/>
              </w:rPr>
              <w:t>B-18 Table A2-2 Original note 3</w:t>
            </w:r>
          </w:p>
        </w:tc>
        <w:tc>
          <w:tcPr>
            <w:tcW w:w="1107" w:type="dxa"/>
          </w:tcPr>
          <w:p w:rsidR="0072620A" w:rsidRDefault="0072620A" w:rsidP="00DB166C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990" w:type="dxa"/>
          </w:tcPr>
          <w:p w:rsidR="0072620A" w:rsidRDefault="0053540B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Introduce message class (exercise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72620A" w:rsidRDefault="0053540B" w:rsidP="00DB166C">
            <w:pPr>
              <w:rPr>
                <w:lang w:val="en-GB"/>
              </w:rPr>
            </w:pPr>
            <w:r>
              <w:rPr>
                <w:lang w:val="en-GB"/>
              </w:rPr>
              <w:t>TCA</w:t>
            </w:r>
          </w:p>
        </w:tc>
        <w:tc>
          <w:tcPr>
            <w:tcW w:w="4678" w:type="dxa"/>
          </w:tcPr>
          <w:p w:rsidR="0072620A" w:rsidRDefault="0053540B" w:rsidP="00DB166C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included in </w:t>
            </w:r>
            <w:proofErr w:type="spellStart"/>
            <w:r>
              <w:rPr>
                <w:lang w:val="en-GB"/>
              </w:rPr>
              <w:t>iwxxm</w:t>
            </w:r>
            <w:proofErr w:type="spellEnd"/>
            <w:r>
              <w:rPr>
                <w:lang w:val="en-GB"/>
              </w:rPr>
              <w:t xml:space="preserve"> 2</w:t>
            </w:r>
          </w:p>
        </w:tc>
      </w:tr>
      <w:tr w:rsidR="0053540B" w:rsidTr="00F32940">
        <w:tc>
          <w:tcPr>
            <w:tcW w:w="1107" w:type="dxa"/>
          </w:tcPr>
          <w:p w:rsidR="0053540B" w:rsidRDefault="0053540B" w:rsidP="0072620A">
            <w:pPr>
              <w:rPr>
                <w:lang w:val="en-GB"/>
              </w:rPr>
            </w:pPr>
            <w:r>
              <w:rPr>
                <w:lang w:val="en-GB"/>
              </w:rPr>
              <w:t>B-19</w:t>
            </w:r>
          </w:p>
          <w:p w:rsidR="0053540B" w:rsidRDefault="0053540B" w:rsidP="0072620A">
            <w:pPr>
              <w:rPr>
                <w:lang w:val="en-GB"/>
              </w:rPr>
            </w:pPr>
            <w:r>
              <w:rPr>
                <w:lang w:val="en-GB"/>
              </w:rPr>
              <w:t>Table A6-1A</w:t>
            </w:r>
          </w:p>
        </w:tc>
        <w:tc>
          <w:tcPr>
            <w:tcW w:w="1107" w:type="dxa"/>
          </w:tcPr>
          <w:p w:rsidR="0053540B" w:rsidRDefault="0053540B" w:rsidP="00DB166C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990" w:type="dxa"/>
          </w:tcPr>
          <w:p w:rsidR="0053540B" w:rsidRPr="00D17A56" w:rsidRDefault="0053540B" w:rsidP="00BB6AC4">
            <w:r w:rsidRPr="00D17A56">
              <w:t xml:space="preserve">Introduce message class (exercise </w:t>
            </w:r>
            <w:proofErr w:type="spellStart"/>
            <w:r w:rsidRPr="00D17A56">
              <w:t>etc</w:t>
            </w:r>
            <w:proofErr w:type="spellEnd"/>
            <w:r w:rsidRPr="00D17A56">
              <w:t>)</w:t>
            </w:r>
          </w:p>
        </w:tc>
        <w:tc>
          <w:tcPr>
            <w:tcW w:w="2126" w:type="dxa"/>
          </w:tcPr>
          <w:p w:rsidR="0053540B" w:rsidRPr="00D17A56" w:rsidRDefault="0053540B" w:rsidP="0053540B">
            <w:r w:rsidRPr="00D17A56">
              <w:t>SIGMET</w:t>
            </w:r>
            <w:r>
              <w:t xml:space="preserve"> &amp; AIRMET</w:t>
            </w:r>
          </w:p>
        </w:tc>
        <w:tc>
          <w:tcPr>
            <w:tcW w:w="4678" w:type="dxa"/>
          </w:tcPr>
          <w:p w:rsidR="0053540B" w:rsidRDefault="0053540B" w:rsidP="00BB6AC4">
            <w:r w:rsidRPr="00D17A56">
              <w:t xml:space="preserve">Already included in </w:t>
            </w:r>
            <w:proofErr w:type="spellStart"/>
            <w:r w:rsidRPr="00D17A56">
              <w:t>iwxxm</w:t>
            </w:r>
            <w:proofErr w:type="spellEnd"/>
            <w:r w:rsidRPr="00D17A56">
              <w:t xml:space="preserve"> 2</w:t>
            </w:r>
          </w:p>
        </w:tc>
      </w:tr>
      <w:tr w:rsidR="0053540B" w:rsidTr="00F32940">
        <w:tc>
          <w:tcPr>
            <w:tcW w:w="1107" w:type="dxa"/>
          </w:tcPr>
          <w:p w:rsidR="0053540B" w:rsidRDefault="0053540B" w:rsidP="004949C7">
            <w:pPr>
              <w:rPr>
                <w:lang w:val="en-GB"/>
              </w:rPr>
            </w:pPr>
            <w:r>
              <w:rPr>
                <w:lang w:val="en-GB"/>
              </w:rPr>
              <w:t>B-20 to B-2</w:t>
            </w:r>
            <w:r w:rsidR="004949C7">
              <w:rPr>
                <w:lang w:val="en-GB"/>
              </w:rPr>
              <w:t>4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107" w:type="dxa"/>
          </w:tcPr>
          <w:p w:rsidR="0053540B" w:rsidRDefault="0053540B" w:rsidP="00DB166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990" w:type="dxa"/>
          </w:tcPr>
          <w:p w:rsidR="0053540B" w:rsidRPr="00D17A56" w:rsidRDefault="0053540B" w:rsidP="00BB6AC4">
            <w:r>
              <w:t>Implementation time scales for IWXXM</w:t>
            </w:r>
          </w:p>
        </w:tc>
        <w:tc>
          <w:tcPr>
            <w:tcW w:w="2126" w:type="dxa"/>
          </w:tcPr>
          <w:p w:rsidR="0053540B" w:rsidRDefault="00D94C54" w:rsidP="00D94C54">
            <w:r>
              <w:t xml:space="preserve">a) </w:t>
            </w:r>
            <w:r w:rsidR="0053540B">
              <w:t>VAA</w:t>
            </w:r>
            <w:r>
              <w:t xml:space="preserve">, </w:t>
            </w:r>
            <w:r w:rsidR="0053540B">
              <w:t>TCA</w:t>
            </w:r>
            <w:r>
              <w:t xml:space="preserve">; </w:t>
            </w:r>
            <w:r w:rsidR="0053540B">
              <w:t>TAF</w:t>
            </w:r>
            <w:r>
              <w:t xml:space="preserve"> METAR/SPECI</w:t>
            </w:r>
          </w:p>
          <w:p w:rsidR="00D94C54" w:rsidRDefault="00D94C54" w:rsidP="00D94C54">
            <w:r>
              <w:t>b) SIGMET/AIRMET</w:t>
            </w:r>
          </w:p>
          <w:p w:rsidR="00D94C54" w:rsidRDefault="00D94C54" w:rsidP="00D94C54">
            <w:r>
              <w:t>c) Space Weather Advisory</w:t>
            </w:r>
            <w:bookmarkStart w:id="0" w:name="_GoBack"/>
            <w:bookmarkEnd w:id="0"/>
          </w:p>
          <w:p w:rsidR="0053540B" w:rsidRPr="00D17A56" w:rsidRDefault="0053540B" w:rsidP="004949C7"/>
        </w:tc>
        <w:tc>
          <w:tcPr>
            <w:tcW w:w="4678" w:type="dxa"/>
          </w:tcPr>
          <w:p w:rsidR="0053540B" w:rsidRDefault="00D94C54" w:rsidP="00BB6AC4">
            <w:r>
              <w:t xml:space="preserve">a) </w:t>
            </w:r>
            <w:r w:rsidR="004949C7">
              <w:t xml:space="preserve">Contents already covered by </w:t>
            </w:r>
            <w:proofErr w:type="spellStart"/>
            <w:r w:rsidR="004949C7">
              <w:t>iwxxm</w:t>
            </w:r>
            <w:proofErr w:type="spellEnd"/>
            <w:r w:rsidR="004949C7">
              <w:t xml:space="preserve"> 2</w:t>
            </w:r>
          </w:p>
          <w:p w:rsidR="00D94C54" w:rsidRDefault="00D94C54" w:rsidP="00BB6AC4">
            <w:r>
              <w:t>b) Minor modifications that are achievable</w:t>
            </w:r>
          </w:p>
          <w:p w:rsidR="00D94C54" w:rsidRPr="00D17A56" w:rsidRDefault="00D94C54" w:rsidP="00D94C54">
            <w:r>
              <w:t>c) Time scale not achievable.</w:t>
            </w:r>
          </w:p>
        </w:tc>
      </w:tr>
      <w:tr w:rsidR="004949C7" w:rsidTr="00F32940">
        <w:tc>
          <w:tcPr>
            <w:tcW w:w="1107" w:type="dxa"/>
          </w:tcPr>
          <w:p w:rsidR="00A04BAD" w:rsidRDefault="00A04BAD" w:rsidP="00A04BAD">
            <w:pPr>
              <w:rPr>
                <w:lang w:val="en-GB"/>
              </w:rPr>
            </w:pPr>
            <w:r>
              <w:rPr>
                <w:lang w:val="en-GB"/>
              </w:rPr>
              <w:t>B24-B27 Table A2-2</w:t>
            </w:r>
          </w:p>
        </w:tc>
        <w:tc>
          <w:tcPr>
            <w:tcW w:w="1107" w:type="dxa"/>
          </w:tcPr>
          <w:p w:rsidR="004949C7" w:rsidRDefault="00A04BAD" w:rsidP="00DB166C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3990" w:type="dxa"/>
          </w:tcPr>
          <w:p w:rsidR="00A04BAD" w:rsidRDefault="00A04BAD" w:rsidP="00A04BAD">
            <w:r>
              <w:t>a) Only optional element is “status”</w:t>
            </w:r>
          </w:p>
          <w:p w:rsidR="00A04BAD" w:rsidRDefault="00A04BAD" w:rsidP="00A04BAD">
            <w:r>
              <w:t>b) Add year to advisory number</w:t>
            </w:r>
          </w:p>
          <w:p w:rsidR="00D9334C" w:rsidRDefault="00D9334C" w:rsidP="00A04BAD">
            <w:r>
              <w:t xml:space="preserve">c) </w:t>
            </w:r>
            <w:r w:rsidR="00AB0A0E">
              <w:t>Observed position – add time stamp</w:t>
            </w:r>
          </w:p>
          <w:p w:rsidR="00AB0A0E" w:rsidRDefault="00AB0A0E" w:rsidP="00A04BAD">
            <w:r>
              <w:t>d) Observed CB cloud</w:t>
            </w:r>
          </w:p>
          <w:p w:rsidR="00AB0A0E" w:rsidRDefault="00AB0A0E" w:rsidP="00562954">
            <w:r>
              <w:t>e) Direction and speed of motion</w:t>
            </w:r>
          </w:p>
        </w:tc>
        <w:tc>
          <w:tcPr>
            <w:tcW w:w="2126" w:type="dxa"/>
          </w:tcPr>
          <w:p w:rsidR="004949C7" w:rsidRDefault="00A04BAD" w:rsidP="0053540B">
            <w:r>
              <w:t>TCA</w:t>
            </w:r>
          </w:p>
        </w:tc>
        <w:tc>
          <w:tcPr>
            <w:tcW w:w="4678" w:type="dxa"/>
          </w:tcPr>
          <w:p w:rsidR="004949C7" w:rsidRDefault="00A04BAD" w:rsidP="00BB6AC4">
            <w:r>
              <w:t>a) No change</w:t>
            </w:r>
          </w:p>
          <w:p w:rsidR="00A04BAD" w:rsidRDefault="00A04BAD" w:rsidP="00BB6AC4">
            <w:r>
              <w:t>b)</w:t>
            </w:r>
            <w:r w:rsidR="00D9334C">
              <w:t xml:space="preserve"> Implication is that the number is made up from year, TC identifier and message sequence number, which implies three separate tagged items in </w:t>
            </w:r>
            <w:proofErr w:type="spellStart"/>
            <w:r w:rsidR="00D9334C">
              <w:t>iwxxm</w:t>
            </w:r>
            <w:proofErr w:type="spellEnd"/>
            <w:r w:rsidR="00D9334C">
              <w:t>.</w:t>
            </w:r>
          </w:p>
          <w:p w:rsidR="00AB0A0E" w:rsidRDefault="00AB0A0E" w:rsidP="00BB6AC4">
            <w:r>
              <w:t xml:space="preserve">c) Check that there is a time stamp for the observed position of the </w:t>
            </w:r>
            <w:proofErr w:type="spellStart"/>
            <w:r>
              <w:t>centre</w:t>
            </w:r>
            <w:proofErr w:type="spellEnd"/>
            <w:r>
              <w:t xml:space="preserve"> that is identified as the observed position. (Expect no change)</w:t>
            </w:r>
          </w:p>
          <w:p w:rsidR="00AB0A0E" w:rsidRDefault="00AB0A0E" w:rsidP="00AB0A0E">
            <w:r>
              <w:t>d) Add observed CB cloud extend as box or circle together with top (could be ABV, BLW) a FL.</w:t>
            </w:r>
          </w:p>
          <w:p w:rsidR="00D9334C" w:rsidRDefault="00AB0A0E" w:rsidP="00562954">
            <w:r>
              <w:t xml:space="preserve">e) remove category “SLW”. Question: does this allow STNR convert to zero speed and </w:t>
            </w:r>
            <w:proofErr w:type="spellStart"/>
            <w:r>
              <w:t>notApplicable</w:t>
            </w:r>
            <w:proofErr w:type="spellEnd"/>
            <w:r>
              <w:t xml:space="preserve"> as the </w:t>
            </w:r>
            <w:proofErr w:type="spellStart"/>
            <w:r>
              <w:t>nilReason</w:t>
            </w:r>
            <w:proofErr w:type="spellEnd"/>
            <w:r>
              <w:t xml:space="preserve"> for direction? That would simplify programs to process </w:t>
            </w:r>
            <w:proofErr w:type="spellStart"/>
            <w:r>
              <w:t>iwxxm</w:t>
            </w:r>
            <w:proofErr w:type="spellEnd"/>
            <w:r>
              <w:t>.</w:t>
            </w:r>
          </w:p>
        </w:tc>
      </w:tr>
      <w:tr w:rsidR="00562954" w:rsidTr="00F32940">
        <w:tc>
          <w:tcPr>
            <w:tcW w:w="1107" w:type="dxa"/>
          </w:tcPr>
          <w:p w:rsidR="00562954" w:rsidRDefault="00562954" w:rsidP="00562954">
            <w:pPr>
              <w:rPr>
                <w:lang w:val="en-GB"/>
              </w:rPr>
            </w:pPr>
            <w:r>
              <w:rPr>
                <w:lang w:val="en-GB"/>
              </w:rPr>
              <w:t>B-28</w:t>
            </w:r>
          </w:p>
          <w:p w:rsidR="00562954" w:rsidRDefault="00562954" w:rsidP="00562954">
            <w:pPr>
              <w:rPr>
                <w:lang w:val="en-GB"/>
              </w:rPr>
            </w:pPr>
            <w:r>
              <w:rPr>
                <w:lang w:val="en-GB"/>
              </w:rPr>
              <w:t>Table A6-1A</w:t>
            </w:r>
          </w:p>
        </w:tc>
        <w:tc>
          <w:tcPr>
            <w:tcW w:w="1107" w:type="dxa"/>
          </w:tcPr>
          <w:p w:rsidR="00562954" w:rsidRDefault="00562954" w:rsidP="00DB166C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990" w:type="dxa"/>
          </w:tcPr>
          <w:p w:rsidR="00562954" w:rsidRDefault="00562954" w:rsidP="00562954">
            <w:r>
              <w:t>a) Test or exercise</w:t>
            </w:r>
          </w:p>
          <w:p w:rsidR="00562954" w:rsidRDefault="00562954" w:rsidP="00562954">
            <w:r>
              <w:t xml:space="preserve">b) Name of FIR/CTA – allow FIR, UIR, FIR/UIR </w:t>
            </w:r>
          </w:p>
          <w:p w:rsidR="00562954" w:rsidRDefault="002A4C32" w:rsidP="00562954">
            <w:r>
              <w:t>c) Location can include “</w:t>
            </w:r>
            <w:r w:rsidR="00562954">
              <w:t>entire UIR”</w:t>
            </w:r>
          </w:p>
          <w:p w:rsidR="002D04A1" w:rsidRDefault="002D04A1" w:rsidP="00562954">
            <w:r>
              <w:t xml:space="preserve">d) Allow location “within </w:t>
            </w:r>
            <w:proofErr w:type="spellStart"/>
            <w:r>
              <w:t>nn</w:t>
            </w:r>
            <w:proofErr w:type="spellEnd"/>
            <w:r>
              <w:t xml:space="preserve"> of point”</w:t>
            </w:r>
          </w:p>
          <w:p w:rsidR="002D04A1" w:rsidRDefault="002D04A1" w:rsidP="00562954">
            <w:r>
              <w:t>e) Allow “above” level expressed in feet</w:t>
            </w:r>
          </w:p>
          <w:p w:rsidR="002D04A1" w:rsidRDefault="002D04A1" w:rsidP="00562954">
            <w:r>
              <w:t>f) Add TC forecast position</w:t>
            </w:r>
          </w:p>
          <w:p w:rsidR="00776880" w:rsidRDefault="00776880" w:rsidP="00562954">
            <w:r>
              <w:t xml:space="preserve">g) Forecast position: allow ENTIRE UIR; change “NO VA” to “NO LONGER EXPECTED” </w:t>
            </w:r>
          </w:p>
        </w:tc>
        <w:tc>
          <w:tcPr>
            <w:tcW w:w="2126" w:type="dxa"/>
          </w:tcPr>
          <w:p w:rsidR="00562954" w:rsidRDefault="00562954" w:rsidP="0053540B">
            <w:r>
              <w:t>SIGMET</w:t>
            </w:r>
          </w:p>
          <w:p w:rsidR="002D04A1" w:rsidRDefault="002D04A1" w:rsidP="0053540B">
            <w:r>
              <w:t>AIRMET</w:t>
            </w:r>
          </w:p>
          <w:p w:rsidR="00562954" w:rsidRDefault="00562954" w:rsidP="0053540B"/>
        </w:tc>
        <w:tc>
          <w:tcPr>
            <w:tcW w:w="4678" w:type="dxa"/>
          </w:tcPr>
          <w:p w:rsidR="00562954" w:rsidRDefault="00562954" w:rsidP="00BB6AC4">
            <w:r>
              <w:t xml:space="preserve">a) Already in </w:t>
            </w:r>
            <w:proofErr w:type="spellStart"/>
            <w:r>
              <w:t>iwxxm</w:t>
            </w:r>
            <w:proofErr w:type="spellEnd"/>
            <w:r>
              <w:t>.</w:t>
            </w:r>
          </w:p>
          <w:p w:rsidR="00562954" w:rsidRDefault="00562954" w:rsidP="00562954">
            <w:r>
              <w:t xml:space="preserve">b) Check that </w:t>
            </w:r>
            <w:proofErr w:type="spellStart"/>
            <w:r>
              <w:t>iwxxm</w:t>
            </w:r>
            <w:proofErr w:type="spellEnd"/>
            <w:r>
              <w:t xml:space="preserve"> allows UIR by itself</w:t>
            </w:r>
          </w:p>
          <w:p w:rsidR="00562954" w:rsidRDefault="00562954" w:rsidP="002D04A1">
            <w:r>
              <w:t xml:space="preserve">c) </w:t>
            </w:r>
            <w:r w:rsidR="002A4C32">
              <w:t>Permit</w:t>
            </w:r>
            <w:r>
              <w:t xml:space="preserve"> “</w:t>
            </w:r>
            <w:r w:rsidR="002A4C32">
              <w:t>entire UIR</w:t>
            </w:r>
            <w:r>
              <w:t>”</w:t>
            </w:r>
            <w:r w:rsidR="002A4C32">
              <w:t xml:space="preserve"> as location</w:t>
            </w:r>
            <w:r w:rsidR="002D04A1">
              <w:t xml:space="preserve"> </w:t>
            </w:r>
          </w:p>
          <w:p w:rsidR="002D04A1" w:rsidRDefault="002D04A1" w:rsidP="002D04A1">
            <w:r>
              <w:t xml:space="preserve">d) allow circle (or circular polygon) </w:t>
            </w:r>
            <w:proofErr w:type="spellStart"/>
            <w:r>
              <w:t>centred</w:t>
            </w:r>
            <w:proofErr w:type="spellEnd"/>
            <w:r>
              <w:t xml:space="preserve"> on point (or polygon limited by FIR/UIR boundary).</w:t>
            </w:r>
          </w:p>
          <w:p w:rsidR="00562954" w:rsidRDefault="002D04A1" w:rsidP="002D04A1">
            <w:r>
              <w:t>e) Allow “above/top above” [n]</w:t>
            </w:r>
            <w:proofErr w:type="spellStart"/>
            <w:r>
              <w:t>nnnnFT</w:t>
            </w:r>
            <w:proofErr w:type="spellEnd"/>
            <w:r>
              <w:t>.</w:t>
            </w:r>
          </w:p>
          <w:p w:rsidR="002D04A1" w:rsidRDefault="002D04A1" w:rsidP="002D04A1">
            <w:r>
              <w:t>f) Add TC forecast position (not AIRMET).</w:t>
            </w:r>
          </w:p>
          <w:p w:rsidR="002D04A1" w:rsidRDefault="00776880" w:rsidP="00776880">
            <w:r>
              <w:t>g) Allow ENTIRE UIR change indication of phenomenon not expected to continue (or the applicability) (not AIRMET)</w:t>
            </w:r>
          </w:p>
        </w:tc>
      </w:tr>
    </w:tbl>
    <w:p w:rsidR="00F32940" w:rsidRPr="00F32940" w:rsidRDefault="00F32940" w:rsidP="00DB166C">
      <w:pPr>
        <w:rPr>
          <w:lang w:val="en-GB"/>
        </w:rPr>
      </w:pPr>
    </w:p>
    <w:sectPr w:rsidR="00F32940" w:rsidRPr="00F32940" w:rsidSect="00F3294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0B" w:rsidRDefault="0053540B" w:rsidP="0053540B">
      <w:r>
        <w:separator/>
      </w:r>
    </w:p>
  </w:endnote>
  <w:endnote w:type="continuationSeparator" w:id="0">
    <w:p w:rsidR="0053540B" w:rsidRDefault="0053540B" w:rsidP="0053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0B" w:rsidRDefault="0053540B" w:rsidP="0053540B">
      <w:r>
        <w:separator/>
      </w:r>
    </w:p>
  </w:footnote>
  <w:footnote w:type="continuationSeparator" w:id="0">
    <w:p w:rsidR="0053540B" w:rsidRDefault="0053540B" w:rsidP="0053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40"/>
    <w:rsid w:val="000E05E6"/>
    <w:rsid w:val="0018692A"/>
    <w:rsid w:val="002A4C32"/>
    <w:rsid w:val="002D04A1"/>
    <w:rsid w:val="00392352"/>
    <w:rsid w:val="004949C7"/>
    <w:rsid w:val="00521493"/>
    <w:rsid w:val="0053540B"/>
    <w:rsid w:val="00562954"/>
    <w:rsid w:val="006A176C"/>
    <w:rsid w:val="0072620A"/>
    <w:rsid w:val="00776880"/>
    <w:rsid w:val="008F78E6"/>
    <w:rsid w:val="009C6AF1"/>
    <w:rsid w:val="00A04BAD"/>
    <w:rsid w:val="00AB0A0E"/>
    <w:rsid w:val="00BF41B9"/>
    <w:rsid w:val="00D9334C"/>
    <w:rsid w:val="00D94C54"/>
    <w:rsid w:val="00DB166C"/>
    <w:rsid w:val="00F32940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66C"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rsid w:val="00F3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5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40B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rsid w:val="00535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540B"/>
    <w:rPr>
      <w:rFonts w:ascii="Verdana" w:hAnsi="Verdan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66C"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rsid w:val="00F3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5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40B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rsid w:val="00535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540B"/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E0756-5D41-4071-BD2B-80DC4A635C47}"/>
</file>

<file path=customXml/itemProps2.xml><?xml version="1.0" encoding="utf-8"?>
<ds:datastoreItem xmlns:ds="http://schemas.openxmlformats.org/officeDocument/2006/customXml" ds:itemID="{F501370E-A5BF-413B-A397-69458D70CE23}"/>
</file>

<file path=customXml/itemProps3.xml><?xml version="1.0" encoding="utf-8"?>
<ds:datastoreItem xmlns:ds="http://schemas.openxmlformats.org/officeDocument/2006/customXml" ds:itemID="{5E018278-C6AE-462C-A4D5-70F6BAF90BBF}"/>
</file>

<file path=docProps/app.xml><?xml version="1.0" encoding="utf-8"?>
<Properties xmlns="http://schemas.openxmlformats.org/officeDocument/2006/extended-properties" xmlns:vt="http://schemas.openxmlformats.org/officeDocument/2006/docPropsVTypes">
  <Template>6B4EB683.dotm</Template>
  <TotalTime>384</TotalTime>
  <Pages>4</Pages>
  <Words>846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Steve Foreman</cp:lastModifiedBy>
  <cp:revision>5</cp:revision>
  <dcterms:created xsi:type="dcterms:W3CDTF">2017-06-01T08:02:00Z</dcterms:created>
  <dcterms:modified xsi:type="dcterms:W3CDTF">2017-06-02T08:10:00Z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