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horzAnchor="margin" w:tblpY="-283"/>
        <w:tblW w:w="10031" w:type="dxa"/>
        <w:tblLayout w:type="fixed"/>
        <w:tblLook w:val="0000" w:firstRow="0" w:lastRow="0" w:firstColumn="0" w:lastColumn="0" w:noHBand="0" w:noVBand="0"/>
      </w:tblPr>
      <w:tblGrid>
        <w:gridCol w:w="4548"/>
        <w:gridCol w:w="1680"/>
        <w:gridCol w:w="2880"/>
        <w:gridCol w:w="480"/>
        <w:gridCol w:w="443"/>
      </w:tblGrid>
      <w:tr w:rsidR="00701FDB" w:rsidRPr="004C3AF7">
        <w:trPr>
          <w:cantSplit/>
          <w:trHeight w:val="1438"/>
        </w:trPr>
        <w:tc>
          <w:tcPr>
            <w:tcW w:w="4548" w:type="dxa"/>
            <w:vAlign w:val="center"/>
          </w:tcPr>
          <w:p w:rsidR="00701FDB" w:rsidRPr="004C3AF7" w:rsidRDefault="00701FDB" w:rsidP="00E92931">
            <w:pPr>
              <w:shd w:val="clear" w:color="auto" w:fill="FFFFFF"/>
              <w:spacing w:after="180" w:afterAutospacing="0"/>
              <w:jc w:val="center"/>
              <w:outlineLvl w:val="1"/>
              <w:rPr>
                <w:b/>
                <w:bCs/>
                <w:sz w:val="22"/>
                <w:szCs w:val="22"/>
              </w:rPr>
            </w:pPr>
          </w:p>
          <w:p w:rsidR="00701FDB" w:rsidRPr="004C3AF7" w:rsidRDefault="00701FDB" w:rsidP="00E92931">
            <w:pPr>
              <w:shd w:val="clear" w:color="auto" w:fill="FFFFFF"/>
              <w:spacing w:before="60" w:beforeAutospacing="0" w:after="120" w:afterAutospacing="0"/>
              <w:jc w:val="center"/>
              <w:outlineLvl w:val="1"/>
              <w:rPr>
                <w:b/>
                <w:bCs/>
                <w:sz w:val="22"/>
                <w:szCs w:val="22"/>
              </w:rPr>
            </w:pPr>
            <w:r w:rsidRPr="004C3AF7">
              <w:rPr>
                <w:b/>
                <w:bCs/>
                <w:sz w:val="22"/>
                <w:szCs w:val="22"/>
              </w:rPr>
              <w:t>COMMISSION FOR BASIC SYSTEMS</w:t>
            </w:r>
          </w:p>
        </w:tc>
        <w:bookmarkStart w:id="0" w:name="ditulogo"/>
        <w:bookmarkEnd w:id="0"/>
        <w:tc>
          <w:tcPr>
            <w:tcW w:w="5483" w:type="dxa"/>
            <w:gridSpan w:val="4"/>
            <w:tcMar>
              <w:left w:w="6" w:type="dxa"/>
              <w:right w:w="6" w:type="dxa"/>
            </w:tcMar>
          </w:tcPr>
          <w:p w:rsidR="00701FDB" w:rsidRPr="004C3AF7" w:rsidRDefault="00E33512" w:rsidP="00E33512">
            <w:pPr>
              <w:shd w:val="solid" w:color="FFFFFF" w:fill="FFFFFF"/>
              <w:spacing w:before="240" w:beforeAutospacing="0" w:after="0" w:afterAutospacing="0" w:line="240" w:lineRule="atLeast"/>
              <w:rPr>
                <w:sz w:val="22"/>
                <w:szCs w:val="22"/>
              </w:rPr>
            </w:pPr>
            <w:r w:rsidRPr="004C3AF7">
              <w:rPr>
                <w:sz w:val="22"/>
                <w:szCs w:val="22"/>
              </w:rPr>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55.5pt" o:ole="">
                  <v:imagedata r:id="rId9" o:title=""/>
                </v:shape>
                <o:OLEObject Type="Embed" ProgID="PBrush" ShapeID="_x0000_i1025" DrawAspect="Content" ObjectID="_1546238237" r:id="rId10"/>
              </w:object>
            </w:r>
          </w:p>
        </w:tc>
      </w:tr>
      <w:tr w:rsidR="00701FDB" w:rsidRPr="004C3AF7">
        <w:trPr>
          <w:cantSplit/>
        </w:trPr>
        <w:tc>
          <w:tcPr>
            <w:tcW w:w="6228" w:type="dxa"/>
            <w:gridSpan w:val="2"/>
            <w:tcBorders>
              <w:top w:val="single" w:sz="12" w:space="0" w:color="auto"/>
            </w:tcBorders>
          </w:tcPr>
          <w:p w:rsidR="00701FDB" w:rsidRPr="004C3AF7" w:rsidRDefault="00701FDB" w:rsidP="00E33512">
            <w:pPr>
              <w:shd w:val="solid" w:color="FFFFFF" w:fill="FFFFFF"/>
              <w:spacing w:after="48"/>
              <w:rPr>
                <w:sz w:val="22"/>
                <w:szCs w:val="22"/>
              </w:rPr>
            </w:pPr>
          </w:p>
        </w:tc>
        <w:tc>
          <w:tcPr>
            <w:tcW w:w="3803" w:type="dxa"/>
            <w:gridSpan w:val="3"/>
            <w:tcBorders>
              <w:top w:val="single" w:sz="12" w:space="0" w:color="auto"/>
            </w:tcBorders>
          </w:tcPr>
          <w:p w:rsidR="00701FDB" w:rsidRPr="004C3AF7" w:rsidRDefault="00701FDB" w:rsidP="00E33512">
            <w:pPr>
              <w:shd w:val="solid" w:color="FFFFFF" w:fill="FFFFFF"/>
              <w:spacing w:after="48" w:line="240" w:lineRule="atLeast"/>
              <w:rPr>
                <w:sz w:val="22"/>
                <w:szCs w:val="22"/>
              </w:rPr>
            </w:pPr>
          </w:p>
        </w:tc>
      </w:tr>
      <w:tr w:rsidR="00682FE9" w:rsidRPr="004C3AF7">
        <w:trPr>
          <w:cantSplit/>
          <w:trHeight w:val="83"/>
        </w:trPr>
        <w:tc>
          <w:tcPr>
            <w:tcW w:w="6228" w:type="dxa"/>
            <w:gridSpan w:val="2"/>
            <w:vMerge w:val="restart"/>
          </w:tcPr>
          <w:p w:rsidR="00682FE9" w:rsidRPr="004C3AF7" w:rsidRDefault="00872AB2" w:rsidP="00872AB2">
            <w:pPr>
              <w:shd w:val="solid" w:color="FFFFFF" w:fill="FFFFFF"/>
              <w:spacing w:after="240"/>
              <w:rPr>
                <w:b/>
                <w:sz w:val="22"/>
                <w:szCs w:val="22"/>
              </w:rPr>
            </w:pPr>
            <w:bookmarkStart w:id="1" w:name="recibido"/>
            <w:bookmarkStart w:id="2" w:name="dnum" w:colFirst="1" w:colLast="1"/>
            <w:bookmarkEnd w:id="1"/>
            <w:r w:rsidRPr="004C3AF7">
              <w:rPr>
                <w:b/>
                <w:sz w:val="22"/>
                <w:szCs w:val="22"/>
              </w:rPr>
              <w:t xml:space="preserve">Steering Group on Radio Frequency </w:t>
            </w:r>
            <w:r w:rsidRPr="004C3AF7">
              <w:rPr>
                <w:b/>
                <w:sz w:val="22"/>
                <w:szCs w:val="22"/>
              </w:rPr>
              <w:br/>
              <w:t>Coordination (SG-RFC)</w:t>
            </w:r>
          </w:p>
          <w:p w:rsidR="00872AB2" w:rsidRDefault="00C731AD" w:rsidP="00C731AD">
            <w:pPr>
              <w:shd w:val="solid" w:color="FFFFFF" w:fill="FFFFFF"/>
              <w:spacing w:after="240"/>
              <w:rPr>
                <w:b/>
                <w:sz w:val="22"/>
                <w:szCs w:val="22"/>
              </w:rPr>
            </w:pPr>
            <w:r>
              <w:rPr>
                <w:b/>
                <w:sz w:val="22"/>
                <w:szCs w:val="22"/>
              </w:rPr>
              <w:t>Geneva, 24-27 January 2017</w:t>
            </w:r>
          </w:p>
          <w:p w:rsidR="006C73CD" w:rsidRPr="00AC6C80" w:rsidRDefault="006C73CD" w:rsidP="00304C68">
            <w:pPr>
              <w:shd w:val="solid" w:color="FFFFFF" w:fill="FFFFFF"/>
              <w:spacing w:after="240"/>
              <w:rPr>
                <w:b/>
                <w:sz w:val="22"/>
                <w:szCs w:val="22"/>
              </w:rPr>
            </w:pPr>
            <w:r w:rsidRPr="00AC6C80">
              <w:rPr>
                <w:b/>
                <w:sz w:val="22"/>
                <w:szCs w:val="22"/>
              </w:rPr>
              <w:t xml:space="preserve">Submitted by : Focal Point for </w:t>
            </w:r>
            <w:proofErr w:type="spellStart"/>
            <w:r w:rsidR="00304C68">
              <w:rPr>
                <w:b/>
                <w:sz w:val="22"/>
                <w:szCs w:val="22"/>
              </w:rPr>
              <w:t>MetSat</w:t>
            </w:r>
            <w:proofErr w:type="spellEnd"/>
          </w:p>
        </w:tc>
        <w:tc>
          <w:tcPr>
            <w:tcW w:w="3803" w:type="dxa"/>
            <w:gridSpan w:val="3"/>
          </w:tcPr>
          <w:p w:rsidR="00682FE9" w:rsidRPr="004C3AF7" w:rsidRDefault="00682FE9" w:rsidP="006B7139">
            <w:pPr>
              <w:shd w:val="solid" w:color="FFFFFF" w:fill="FFFFFF"/>
              <w:spacing w:line="240" w:lineRule="atLeast"/>
              <w:rPr>
                <w:sz w:val="22"/>
                <w:szCs w:val="22"/>
                <w:lang w:eastAsia="zh-CN"/>
              </w:rPr>
            </w:pPr>
            <w:r w:rsidRPr="004C3AF7">
              <w:rPr>
                <w:b/>
                <w:bCs/>
                <w:sz w:val="22"/>
                <w:szCs w:val="22"/>
                <w:lang w:eastAsia="zh-CN"/>
              </w:rPr>
              <w:t>Document SG-RFC/201</w:t>
            </w:r>
            <w:r w:rsidR="00C731AD">
              <w:rPr>
                <w:b/>
                <w:bCs/>
                <w:sz w:val="22"/>
                <w:szCs w:val="22"/>
                <w:lang w:eastAsia="zh-CN"/>
              </w:rPr>
              <w:t>7</w:t>
            </w:r>
            <w:r w:rsidRPr="004C3AF7">
              <w:rPr>
                <w:b/>
                <w:bCs/>
                <w:sz w:val="22"/>
                <w:szCs w:val="22"/>
                <w:lang w:eastAsia="zh-CN"/>
              </w:rPr>
              <w:t>-</w:t>
            </w:r>
            <w:r w:rsidR="00C731AD">
              <w:rPr>
                <w:b/>
                <w:bCs/>
                <w:sz w:val="22"/>
                <w:szCs w:val="22"/>
                <w:lang w:eastAsia="zh-CN"/>
              </w:rPr>
              <w:t>Doc</w:t>
            </w:r>
            <w:r w:rsidR="009140B6">
              <w:rPr>
                <w:b/>
                <w:bCs/>
                <w:sz w:val="22"/>
                <w:szCs w:val="22"/>
                <w:lang w:eastAsia="zh-CN"/>
              </w:rPr>
              <w:t xml:space="preserve"> </w:t>
            </w:r>
            <w:bookmarkStart w:id="3" w:name="_GoBack"/>
            <w:bookmarkEnd w:id="3"/>
            <w:r w:rsidR="009140B6">
              <w:rPr>
                <w:b/>
                <w:bCs/>
                <w:sz w:val="22"/>
                <w:szCs w:val="22"/>
                <w:lang w:eastAsia="zh-CN"/>
              </w:rPr>
              <w:t>11b</w:t>
            </w:r>
            <w:r w:rsidR="009140B6">
              <w:rPr>
                <w:b/>
                <w:bCs/>
                <w:sz w:val="22"/>
                <w:szCs w:val="22"/>
                <w:lang w:eastAsia="zh-CN"/>
              </w:rPr>
              <w:br/>
              <w:t>Agenda Item (4.2)</w:t>
            </w:r>
          </w:p>
        </w:tc>
      </w:tr>
      <w:tr w:rsidR="00682FE9" w:rsidRPr="004C3AF7">
        <w:trPr>
          <w:cantSplit/>
          <w:trHeight w:val="81"/>
        </w:trPr>
        <w:tc>
          <w:tcPr>
            <w:tcW w:w="6228" w:type="dxa"/>
            <w:gridSpan w:val="2"/>
            <w:vMerge/>
          </w:tcPr>
          <w:p w:rsidR="00682FE9" w:rsidRPr="004C3AF7" w:rsidRDefault="00682FE9" w:rsidP="00E33512">
            <w:pPr>
              <w:shd w:val="solid" w:color="FFFFFF" w:fill="FFFFFF"/>
              <w:spacing w:after="240"/>
              <w:ind w:left="1134" w:hanging="1134"/>
              <w:rPr>
                <w:sz w:val="22"/>
                <w:szCs w:val="22"/>
              </w:rPr>
            </w:pPr>
          </w:p>
        </w:tc>
        <w:tc>
          <w:tcPr>
            <w:tcW w:w="3803" w:type="dxa"/>
            <w:gridSpan w:val="3"/>
          </w:tcPr>
          <w:p w:rsidR="00682FE9" w:rsidRPr="004C3AF7" w:rsidRDefault="006B7139" w:rsidP="006B7139">
            <w:pPr>
              <w:shd w:val="solid" w:color="FFFFFF" w:fill="FFFFFF"/>
              <w:spacing w:before="0" w:line="240" w:lineRule="atLeast"/>
              <w:rPr>
                <w:sz w:val="22"/>
                <w:szCs w:val="22"/>
                <w:lang w:eastAsia="zh-CN"/>
              </w:rPr>
            </w:pPr>
            <w:r>
              <w:rPr>
                <w:b/>
                <w:bCs/>
                <w:sz w:val="22"/>
                <w:szCs w:val="22"/>
                <w:lang w:eastAsia="zh-CN"/>
              </w:rPr>
              <w:t>17</w:t>
            </w:r>
            <w:r w:rsidR="00C731AD">
              <w:rPr>
                <w:b/>
                <w:bCs/>
                <w:sz w:val="22"/>
                <w:szCs w:val="22"/>
                <w:lang w:eastAsia="zh-CN"/>
              </w:rPr>
              <w:t xml:space="preserve"> January 2017</w:t>
            </w:r>
          </w:p>
        </w:tc>
      </w:tr>
      <w:tr w:rsidR="00682FE9" w:rsidRPr="004C3AF7">
        <w:trPr>
          <w:cantSplit/>
          <w:trHeight w:val="120"/>
        </w:trPr>
        <w:tc>
          <w:tcPr>
            <w:tcW w:w="6228" w:type="dxa"/>
            <w:gridSpan w:val="2"/>
            <w:vMerge/>
          </w:tcPr>
          <w:p w:rsidR="00682FE9" w:rsidRPr="004C3AF7" w:rsidRDefault="00682FE9" w:rsidP="00E33512">
            <w:pPr>
              <w:shd w:val="solid" w:color="FFFFFF" w:fill="FFFFFF"/>
              <w:spacing w:after="240"/>
              <w:ind w:left="1134" w:hanging="1134"/>
              <w:rPr>
                <w:sz w:val="22"/>
                <w:szCs w:val="22"/>
              </w:rPr>
            </w:pPr>
          </w:p>
        </w:tc>
        <w:tc>
          <w:tcPr>
            <w:tcW w:w="3803" w:type="dxa"/>
            <w:gridSpan w:val="3"/>
          </w:tcPr>
          <w:p w:rsidR="00682FE9" w:rsidRPr="004C3AF7" w:rsidRDefault="00682FE9" w:rsidP="00E33512">
            <w:pPr>
              <w:shd w:val="solid" w:color="FFFFFF" w:fill="FFFFFF"/>
              <w:spacing w:before="0" w:line="240" w:lineRule="atLeast"/>
              <w:rPr>
                <w:rFonts w:eastAsia="SimSun"/>
                <w:sz w:val="22"/>
                <w:szCs w:val="22"/>
                <w:lang w:eastAsia="zh-CN"/>
              </w:rPr>
            </w:pPr>
            <w:r w:rsidRPr="004C3AF7">
              <w:rPr>
                <w:rFonts w:eastAsia="SimSun"/>
                <w:b/>
                <w:bCs/>
                <w:sz w:val="22"/>
                <w:szCs w:val="22"/>
                <w:lang w:eastAsia="zh-CN"/>
              </w:rPr>
              <w:t>English only</w:t>
            </w:r>
          </w:p>
        </w:tc>
      </w:tr>
      <w:tr w:rsidR="00682FE9" w:rsidRPr="004C3AF7">
        <w:trPr>
          <w:cantSplit/>
          <w:trHeight w:val="120"/>
        </w:trPr>
        <w:tc>
          <w:tcPr>
            <w:tcW w:w="6228" w:type="dxa"/>
            <w:gridSpan w:val="2"/>
            <w:vMerge/>
          </w:tcPr>
          <w:p w:rsidR="00682FE9" w:rsidRPr="004C3AF7" w:rsidRDefault="00682FE9" w:rsidP="00E33512">
            <w:pPr>
              <w:shd w:val="solid" w:color="FFFFFF" w:fill="FFFFFF"/>
              <w:spacing w:after="240"/>
              <w:ind w:left="1134" w:hanging="1134"/>
              <w:rPr>
                <w:sz w:val="22"/>
                <w:szCs w:val="22"/>
              </w:rPr>
            </w:pPr>
          </w:p>
        </w:tc>
        <w:tc>
          <w:tcPr>
            <w:tcW w:w="3803" w:type="dxa"/>
            <w:gridSpan w:val="3"/>
          </w:tcPr>
          <w:p w:rsidR="00682FE9" w:rsidRPr="004C3AF7" w:rsidRDefault="00682FE9" w:rsidP="00E33512">
            <w:pPr>
              <w:shd w:val="solid" w:color="FFFFFF" w:fill="FFFFFF"/>
              <w:spacing w:before="0" w:line="240" w:lineRule="atLeast"/>
              <w:rPr>
                <w:rFonts w:eastAsia="SimSun"/>
                <w:b/>
                <w:bCs/>
                <w:sz w:val="22"/>
                <w:szCs w:val="22"/>
                <w:lang w:eastAsia="zh-CN"/>
              </w:rPr>
            </w:pPr>
          </w:p>
        </w:tc>
      </w:tr>
      <w:tr w:rsidR="00682FE9" w:rsidRPr="004C3AF7">
        <w:trPr>
          <w:cantSplit/>
          <w:trHeight w:val="120"/>
        </w:trPr>
        <w:tc>
          <w:tcPr>
            <w:tcW w:w="6228" w:type="dxa"/>
            <w:gridSpan w:val="2"/>
            <w:vMerge/>
          </w:tcPr>
          <w:p w:rsidR="00682FE9" w:rsidRPr="004C3AF7" w:rsidRDefault="00682FE9" w:rsidP="00E33512">
            <w:pPr>
              <w:shd w:val="solid" w:color="FFFFFF" w:fill="FFFFFF"/>
              <w:spacing w:after="240"/>
              <w:ind w:left="1134" w:hanging="1134"/>
              <w:rPr>
                <w:sz w:val="22"/>
                <w:szCs w:val="22"/>
              </w:rPr>
            </w:pPr>
          </w:p>
        </w:tc>
        <w:tc>
          <w:tcPr>
            <w:tcW w:w="2880" w:type="dxa"/>
            <w:tcBorders>
              <w:right w:val="single" w:sz="8" w:space="0" w:color="auto"/>
            </w:tcBorders>
            <w:tcMar>
              <w:top w:w="11" w:type="dxa"/>
              <w:bottom w:w="11" w:type="dxa"/>
            </w:tcMar>
            <w:vAlign w:val="center"/>
          </w:tcPr>
          <w:p w:rsidR="00682FE9" w:rsidRPr="004C3AF7" w:rsidRDefault="00682FE9" w:rsidP="00E33512">
            <w:pPr>
              <w:shd w:val="solid" w:color="FFFFFF" w:fill="FFFFFF"/>
              <w:spacing w:before="0" w:line="240" w:lineRule="atLeast"/>
              <w:rPr>
                <w:rFonts w:eastAsia="SimSun"/>
                <w:b/>
                <w:bCs/>
                <w:sz w:val="22"/>
                <w:szCs w:val="22"/>
                <w:lang w:eastAsia="zh-CN"/>
              </w:rPr>
            </w:pPr>
            <w:r w:rsidRPr="004C3AF7">
              <w:rPr>
                <w:rFonts w:eastAsia="SimSun"/>
                <w:b/>
                <w:bCs/>
                <w:sz w:val="22"/>
                <w:szCs w:val="22"/>
                <w:lang w:eastAsia="zh-CN"/>
              </w:rPr>
              <w:t>Restricted access required? (Y/N)</w:t>
            </w:r>
            <w:r w:rsidRPr="004C3AF7">
              <w:rPr>
                <w:rStyle w:val="FootnoteReference"/>
                <w:rFonts w:eastAsia="SimSun"/>
                <w:b/>
                <w:bCs/>
                <w:sz w:val="22"/>
                <w:szCs w:val="22"/>
                <w:lang w:eastAsia="zh-CN"/>
              </w:rPr>
              <w:footnoteReference w:customMarkFollows="1" w:id="1"/>
              <w:t>*</w:t>
            </w:r>
          </w:p>
        </w:tc>
        <w:tc>
          <w:tcPr>
            <w:tcW w:w="480"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682FE9" w:rsidRPr="004C3AF7" w:rsidRDefault="00682FE9" w:rsidP="00E6563A">
            <w:pPr>
              <w:shd w:val="solid" w:color="FFFFFF" w:fill="FFFFFF"/>
              <w:spacing w:before="0" w:line="240" w:lineRule="atLeast"/>
              <w:jc w:val="center"/>
              <w:rPr>
                <w:rFonts w:eastAsia="SimSun"/>
                <w:b/>
                <w:bCs/>
                <w:sz w:val="22"/>
                <w:szCs w:val="22"/>
                <w:lang w:eastAsia="zh-CN"/>
              </w:rPr>
            </w:pPr>
            <w:r w:rsidRPr="003E6ECD">
              <w:rPr>
                <w:rFonts w:eastAsia="SimSun"/>
                <w:b/>
                <w:bCs/>
                <w:sz w:val="22"/>
                <w:szCs w:val="22"/>
                <w:lang w:eastAsia="zh-CN"/>
              </w:rPr>
              <w:t>N</w:t>
            </w:r>
          </w:p>
        </w:tc>
        <w:tc>
          <w:tcPr>
            <w:tcW w:w="443" w:type="dxa"/>
            <w:tcBorders>
              <w:left w:val="single" w:sz="8" w:space="0" w:color="auto"/>
            </w:tcBorders>
            <w:vAlign w:val="center"/>
          </w:tcPr>
          <w:p w:rsidR="00682FE9" w:rsidRPr="004C3AF7" w:rsidRDefault="00682FE9" w:rsidP="00E6563A">
            <w:pPr>
              <w:shd w:val="solid" w:color="FFFFFF" w:fill="FFFFFF"/>
              <w:spacing w:before="0" w:line="240" w:lineRule="atLeast"/>
              <w:jc w:val="center"/>
              <w:rPr>
                <w:rFonts w:eastAsia="SimSun"/>
                <w:b/>
                <w:bCs/>
                <w:sz w:val="22"/>
                <w:szCs w:val="22"/>
                <w:lang w:eastAsia="zh-CN"/>
              </w:rPr>
            </w:pPr>
          </w:p>
        </w:tc>
      </w:tr>
      <w:tr w:rsidR="00B1454C" w:rsidRPr="00520897">
        <w:trPr>
          <w:cantSplit/>
        </w:trPr>
        <w:tc>
          <w:tcPr>
            <w:tcW w:w="10031" w:type="dxa"/>
            <w:gridSpan w:val="5"/>
          </w:tcPr>
          <w:p w:rsidR="00342936" w:rsidRPr="00520897" w:rsidRDefault="00342936" w:rsidP="006C73CD">
            <w:pPr>
              <w:pStyle w:val="Reptitle"/>
              <w:rPr>
                <w:rFonts w:ascii="Times New Roman" w:hAnsi="Times New Roman" w:cs="Times New Roman"/>
                <w:bCs w:val="0"/>
                <w:sz w:val="22"/>
                <w:szCs w:val="22"/>
                <w:lang w:val="en-US"/>
              </w:rPr>
            </w:pPr>
            <w:bookmarkStart w:id="4" w:name="dtitle1" w:colFirst="0" w:colLast="0"/>
            <w:bookmarkEnd w:id="2"/>
          </w:p>
          <w:p w:rsidR="00B1454C" w:rsidRPr="00520897" w:rsidRDefault="00304C68" w:rsidP="00304C68">
            <w:pPr>
              <w:pStyle w:val="Reptitle"/>
              <w:rPr>
                <w:rFonts w:ascii="Times New Roman" w:hAnsi="Times New Roman" w:cs="Times New Roman"/>
                <w:bCs w:val="0"/>
                <w:sz w:val="22"/>
                <w:szCs w:val="22"/>
                <w:lang w:eastAsia="zh-CN"/>
              </w:rPr>
            </w:pPr>
            <w:proofErr w:type="spellStart"/>
            <w:r w:rsidRPr="00520897">
              <w:rPr>
                <w:rFonts w:ascii="Times New Roman" w:hAnsi="Times New Roman" w:cs="Times New Roman"/>
                <w:bCs w:val="0"/>
                <w:sz w:val="22"/>
                <w:szCs w:val="22"/>
              </w:rPr>
              <w:t>MetSat</w:t>
            </w:r>
            <w:proofErr w:type="spellEnd"/>
            <w:r w:rsidRPr="00520897">
              <w:rPr>
                <w:rFonts w:ascii="Times New Roman" w:hAnsi="Times New Roman" w:cs="Times New Roman"/>
                <w:bCs w:val="0"/>
                <w:sz w:val="22"/>
                <w:szCs w:val="22"/>
              </w:rPr>
              <w:t xml:space="preserve"> issue</w:t>
            </w:r>
            <w:r w:rsidR="00C24C08" w:rsidRPr="00520897">
              <w:rPr>
                <w:rFonts w:ascii="Times New Roman" w:hAnsi="Times New Roman" w:cs="Times New Roman"/>
                <w:bCs w:val="0"/>
                <w:sz w:val="22"/>
                <w:szCs w:val="22"/>
              </w:rPr>
              <w:t>s</w:t>
            </w:r>
            <w:r w:rsidRPr="00520897">
              <w:rPr>
                <w:rFonts w:ascii="Times New Roman" w:hAnsi="Times New Roman" w:cs="Times New Roman"/>
                <w:bCs w:val="0"/>
                <w:sz w:val="22"/>
                <w:szCs w:val="22"/>
              </w:rPr>
              <w:t xml:space="preserve"> of interest to </w:t>
            </w:r>
            <w:r w:rsidR="003D38B9" w:rsidRPr="00520897">
              <w:rPr>
                <w:rFonts w:ascii="Times New Roman" w:hAnsi="Times New Roman" w:cs="Times New Roman"/>
                <w:bCs w:val="0"/>
                <w:sz w:val="22"/>
                <w:szCs w:val="22"/>
              </w:rPr>
              <w:t>WMO</w:t>
            </w:r>
          </w:p>
        </w:tc>
      </w:tr>
      <w:bookmarkEnd w:id="4"/>
    </w:tbl>
    <w:p w:rsidR="00B1454C" w:rsidRPr="00520897" w:rsidRDefault="00B1454C" w:rsidP="00B1454C">
      <w:pPr>
        <w:shd w:val="clear" w:color="auto" w:fill="FFFFFF"/>
        <w:spacing w:before="0" w:beforeAutospacing="0" w:after="0" w:afterAutospacing="0"/>
        <w:jc w:val="center"/>
        <w:outlineLvl w:val="1"/>
        <w:rPr>
          <w:b/>
          <w:bCs/>
          <w:sz w:val="22"/>
          <w:szCs w:val="22"/>
        </w:rPr>
      </w:pPr>
    </w:p>
    <w:p w:rsidR="00B1454C" w:rsidRPr="00520897" w:rsidRDefault="00647BFE" w:rsidP="00A530FD">
      <w:pPr>
        <w:rPr>
          <w:sz w:val="22"/>
          <w:szCs w:val="22"/>
        </w:rPr>
      </w:pPr>
      <w:r w:rsidRPr="00520897">
        <w:rPr>
          <w:b/>
          <w:bCs/>
          <w:sz w:val="22"/>
          <w:szCs w:val="22"/>
          <w:u w:val="single"/>
        </w:rPr>
        <w:t>1</w:t>
      </w:r>
      <w:r w:rsidRPr="00520897">
        <w:rPr>
          <w:b/>
          <w:bCs/>
          <w:sz w:val="22"/>
          <w:szCs w:val="22"/>
          <w:u w:val="single"/>
        </w:rPr>
        <w:tab/>
      </w:r>
      <w:r w:rsidR="00B1454C" w:rsidRPr="00520897">
        <w:rPr>
          <w:b/>
          <w:bCs/>
          <w:sz w:val="22"/>
          <w:szCs w:val="22"/>
          <w:u w:val="single"/>
        </w:rPr>
        <w:t>Introduction</w:t>
      </w:r>
    </w:p>
    <w:p w:rsidR="00304C68" w:rsidRPr="00520897" w:rsidRDefault="00C24C08" w:rsidP="00D60108">
      <w:pPr>
        <w:pStyle w:val="Texte"/>
        <w:widowControl w:val="0"/>
        <w:suppressAutoHyphens/>
        <w:spacing w:before="120" w:after="0"/>
        <w:rPr>
          <w:bCs w:val="0"/>
          <w:sz w:val="22"/>
          <w:szCs w:val="22"/>
        </w:rPr>
      </w:pPr>
      <w:r w:rsidRPr="00520897">
        <w:rPr>
          <w:bCs w:val="0"/>
          <w:sz w:val="22"/>
          <w:szCs w:val="22"/>
        </w:rPr>
        <w:t xml:space="preserve">The following sections provide a summary of </w:t>
      </w:r>
      <w:proofErr w:type="spellStart"/>
      <w:r w:rsidRPr="00520897">
        <w:rPr>
          <w:bCs w:val="0"/>
          <w:sz w:val="22"/>
          <w:szCs w:val="22"/>
        </w:rPr>
        <w:t>MetSat</w:t>
      </w:r>
      <w:proofErr w:type="spellEnd"/>
      <w:r w:rsidRPr="00520897">
        <w:rPr>
          <w:bCs w:val="0"/>
          <w:sz w:val="22"/>
          <w:szCs w:val="22"/>
        </w:rPr>
        <w:t xml:space="preserve"> issues discussed in the framework of the ITU Working Party 7B. </w:t>
      </w:r>
    </w:p>
    <w:p w:rsidR="00304C68" w:rsidRPr="00520897" w:rsidRDefault="00304C68" w:rsidP="00304C68">
      <w:pPr>
        <w:rPr>
          <w:b/>
          <w:bCs/>
          <w:sz w:val="22"/>
          <w:szCs w:val="22"/>
          <w:u w:val="single"/>
        </w:rPr>
      </w:pPr>
      <w:bookmarkStart w:id="5" w:name="_Toc421203065"/>
      <w:bookmarkStart w:id="6" w:name="_Toc466625533"/>
      <w:bookmarkStart w:id="7" w:name="_Toc466626528"/>
      <w:bookmarkStart w:id="8" w:name="_Toc466637779"/>
      <w:r w:rsidRPr="00520897">
        <w:rPr>
          <w:b/>
          <w:bCs/>
          <w:sz w:val="22"/>
          <w:szCs w:val="22"/>
          <w:u w:val="single"/>
        </w:rPr>
        <w:t>2</w:t>
      </w:r>
      <w:r w:rsidRPr="00520897">
        <w:rPr>
          <w:b/>
          <w:bCs/>
          <w:sz w:val="22"/>
          <w:szCs w:val="22"/>
          <w:u w:val="single"/>
        </w:rPr>
        <w:tab/>
        <w:t xml:space="preserve">EESS and </w:t>
      </w:r>
      <w:proofErr w:type="spellStart"/>
      <w:r w:rsidRPr="00520897">
        <w:rPr>
          <w:b/>
          <w:bCs/>
          <w:sz w:val="22"/>
          <w:szCs w:val="22"/>
          <w:u w:val="single"/>
        </w:rPr>
        <w:t>MetSat</w:t>
      </w:r>
      <w:proofErr w:type="spellEnd"/>
      <w:r w:rsidRPr="00520897">
        <w:rPr>
          <w:b/>
          <w:bCs/>
          <w:sz w:val="22"/>
          <w:szCs w:val="22"/>
          <w:u w:val="single"/>
        </w:rPr>
        <w:t xml:space="preserve"> systems</w:t>
      </w:r>
      <w:bookmarkEnd w:id="5"/>
      <w:r w:rsidRPr="00520897">
        <w:rPr>
          <w:b/>
          <w:bCs/>
          <w:sz w:val="22"/>
          <w:szCs w:val="22"/>
          <w:u w:val="single"/>
        </w:rPr>
        <w:t xml:space="preserve"> performance, interference and sharing criteria</w:t>
      </w:r>
      <w:bookmarkEnd w:id="6"/>
      <w:bookmarkEnd w:id="7"/>
      <w:bookmarkEnd w:id="8"/>
      <w:r w:rsidR="002B3CAD" w:rsidRPr="00520897">
        <w:rPr>
          <w:b/>
          <w:bCs/>
          <w:sz w:val="22"/>
          <w:szCs w:val="22"/>
          <w:u w:val="single"/>
        </w:rPr>
        <w:t xml:space="preserve"> – revision ongoing in the framework of ITU-R </w:t>
      </w:r>
      <w:r w:rsidR="000B08F8" w:rsidRPr="00520897">
        <w:rPr>
          <w:b/>
          <w:bCs/>
          <w:sz w:val="22"/>
          <w:szCs w:val="22"/>
          <w:u w:val="single"/>
        </w:rPr>
        <w:t>W</w:t>
      </w:r>
      <w:r w:rsidR="002B3CAD" w:rsidRPr="00520897">
        <w:rPr>
          <w:b/>
          <w:bCs/>
          <w:sz w:val="22"/>
          <w:szCs w:val="22"/>
          <w:u w:val="single"/>
        </w:rPr>
        <w:t>orking Party 7B</w:t>
      </w:r>
    </w:p>
    <w:p w:rsidR="00304C68" w:rsidRPr="00520897" w:rsidRDefault="002B3CAD" w:rsidP="00304C68">
      <w:pPr>
        <w:rPr>
          <w:sz w:val="22"/>
          <w:szCs w:val="22"/>
        </w:rPr>
      </w:pPr>
      <w:r w:rsidRPr="00520897">
        <w:rPr>
          <w:sz w:val="22"/>
          <w:szCs w:val="22"/>
        </w:rPr>
        <w:t>In continuation of</w:t>
      </w:r>
      <w:r w:rsidR="00304C68" w:rsidRPr="00520897">
        <w:rPr>
          <w:sz w:val="22"/>
          <w:szCs w:val="22"/>
        </w:rPr>
        <w:t xml:space="preserve"> the work performed over the previous study period and last WP 7B meeting, W</w:t>
      </w:r>
      <w:r w:rsidRPr="00520897">
        <w:rPr>
          <w:sz w:val="22"/>
          <w:szCs w:val="22"/>
        </w:rPr>
        <w:t>P</w:t>
      </w:r>
      <w:r w:rsidR="00304C68" w:rsidRPr="00520897">
        <w:rPr>
          <w:sz w:val="22"/>
          <w:szCs w:val="22"/>
        </w:rPr>
        <w:t> 7B further considered the issue of EESS and METSAT systems performance, interference and sharing criteria, in a view to revisit and simplify the current set of numerous ITU-R SA series Recommendations dealing with this subject.</w:t>
      </w:r>
    </w:p>
    <w:p w:rsidR="002B3CAD" w:rsidRPr="00520897" w:rsidRDefault="002B3CAD" w:rsidP="002B3CAD">
      <w:pPr>
        <w:pStyle w:val="Headingb"/>
        <w:rPr>
          <w:rFonts w:ascii="Times New Roman" w:eastAsia="Calibri" w:hAnsi="Times New Roman" w:cs="Times New Roman"/>
          <w:bCs/>
          <w:sz w:val="22"/>
          <w:szCs w:val="22"/>
          <w:u w:val="single"/>
          <w:lang w:val="en-US"/>
        </w:rPr>
      </w:pPr>
      <w:r w:rsidRPr="00520897">
        <w:rPr>
          <w:rFonts w:ascii="Times New Roman" w:eastAsia="Calibri" w:hAnsi="Times New Roman" w:cs="Times New Roman"/>
          <w:bCs/>
          <w:sz w:val="22"/>
          <w:szCs w:val="22"/>
          <w:u w:val="single"/>
          <w:lang w:val="en-US"/>
        </w:rPr>
        <w:t>2.1</w:t>
      </w:r>
      <w:r w:rsidRPr="00520897">
        <w:rPr>
          <w:rFonts w:ascii="Times New Roman" w:eastAsia="Calibri" w:hAnsi="Times New Roman" w:cs="Times New Roman"/>
          <w:bCs/>
          <w:sz w:val="22"/>
          <w:szCs w:val="22"/>
          <w:u w:val="single"/>
          <w:lang w:val="en-US"/>
        </w:rPr>
        <w:tab/>
        <w:t>Performance criteria</w:t>
      </w:r>
    </w:p>
    <w:p w:rsidR="002B3CAD" w:rsidRPr="00520897" w:rsidRDefault="002B3CAD" w:rsidP="002B3CAD">
      <w:pPr>
        <w:rPr>
          <w:sz w:val="22"/>
          <w:szCs w:val="22"/>
        </w:rPr>
      </w:pPr>
      <w:r w:rsidRPr="00520897">
        <w:rPr>
          <w:sz w:val="22"/>
          <w:szCs w:val="22"/>
        </w:rPr>
        <w:t xml:space="preserve">WP 7B at its October 2016 meeting agreed a preliminary draft revision to Recommendation ITU-R SA.1159 with the target for its </w:t>
      </w:r>
      <w:proofErr w:type="spellStart"/>
      <w:r w:rsidRPr="00520897">
        <w:rPr>
          <w:sz w:val="22"/>
          <w:szCs w:val="22"/>
        </w:rPr>
        <w:t>finalisation</w:t>
      </w:r>
      <w:proofErr w:type="spellEnd"/>
      <w:r w:rsidRPr="00520897">
        <w:rPr>
          <w:sz w:val="22"/>
          <w:szCs w:val="22"/>
        </w:rPr>
        <w:t xml:space="preserve"> during the April 2017 WP 7B meeting and sending the agreed draft revised Recommendation (DRR) to the second session of SG 7 in April 2017. </w:t>
      </w:r>
    </w:p>
    <w:p w:rsidR="00881857" w:rsidRPr="00520897" w:rsidRDefault="002B3CAD" w:rsidP="00881857">
      <w:pPr>
        <w:rPr>
          <w:sz w:val="22"/>
          <w:szCs w:val="22"/>
        </w:rPr>
      </w:pPr>
      <w:r w:rsidRPr="00520897">
        <w:rPr>
          <w:sz w:val="22"/>
          <w:szCs w:val="22"/>
        </w:rPr>
        <w:t xml:space="preserve">Revision to Recommendation ITU-R SA.1025 (performance criteria for data transmission systems using non-GSO </w:t>
      </w:r>
      <w:r w:rsidRPr="00520897">
        <w:rPr>
          <w:sz w:val="22"/>
          <w:szCs w:val="22"/>
          <w:lang w:eastAsia="zh-CN"/>
        </w:rPr>
        <w:t>satellites</w:t>
      </w:r>
      <w:r w:rsidRPr="00520897">
        <w:rPr>
          <w:sz w:val="22"/>
          <w:szCs w:val="22"/>
        </w:rPr>
        <w:t xml:space="preserve">) </w:t>
      </w:r>
      <w:r w:rsidR="00881857" w:rsidRPr="00520897">
        <w:rPr>
          <w:sz w:val="22"/>
          <w:szCs w:val="22"/>
        </w:rPr>
        <w:t>was</w:t>
      </w:r>
      <w:r w:rsidRPr="00520897">
        <w:rPr>
          <w:sz w:val="22"/>
          <w:szCs w:val="22"/>
        </w:rPr>
        <w:t xml:space="preserve"> ongoing since the April 2016 meeting of 7B. After consideration of ITU-R SA.1159 </w:t>
      </w:r>
      <w:r w:rsidR="00881857" w:rsidRPr="00520897">
        <w:rPr>
          <w:sz w:val="22"/>
          <w:szCs w:val="22"/>
        </w:rPr>
        <w:t xml:space="preserve">(see paragraph above) </w:t>
      </w:r>
      <w:r w:rsidRPr="00520897">
        <w:rPr>
          <w:sz w:val="22"/>
          <w:szCs w:val="22"/>
        </w:rPr>
        <w:t>and ITU-R SA.1162, it appeared that the performance criteria given in Rec. ITU-R SA.1025 and Rec. ITU-R SA.1162 are full</w:t>
      </w:r>
      <w:r w:rsidR="00881857" w:rsidRPr="00520897">
        <w:rPr>
          <w:sz w:val="22"/>
          <w:szCs w:val="22"/>
        </w:rPr>
        <w:t>y covered by Rec. ITU-R SA.1159 rendering those Recommendations superfluous. Consequently, suppression of Recommendations ITU-R SA.1025 and ITU-R SA.1162 will be proposed to SG 7 once the DRR ITU-R SA.1159 is adopted and approved.</w:t>
      </w:r>
    </w:p>
    <w:p w:rsidR="002B3CAD" w:rsidRPr="00520897" w:rsidRDefault="00BF5FE7" w:rsidP="00BF5FE7">
      <w:pPr>
        <w:pStyle w:val="Headingb"/>
        <w:rPr>
          <w:rFonts w:ascii="Times New Roman" w:eastAsia="Calibri" w:hAnsi="Times New Roman" w:cs="Times New Roman"/>
          <w:bCs/>
          <w:sz w:val="22"/>
          <w:szCs w:val="22"/>
          <w:u w:val="single"/>
          <w:lang w:val="en-US"/>
        </w:rPr>
      </w:pPr>
      <w:r w:rsidRPr="00520897">
        <w:rPr>
          <w:rFonts w:ascii="Times New Roman" w:eastAsia="Calibri" w:hAnsi="Times New Roman" w:cs="Times New Roman"/>
          <w:bCs/>
          <w:sz w:val="22"/>
          <w:szCs w:val="22"/>
          <w:u w:val="single"/>
          <w:lang w:val="en-US"/>
        </w:rPr>
        <w:t>2.2</w:t>
      </w:r>
      <w:r w:rsidR="002B3CAD" w:rsidRPr="00520897">
        <w:rPr>
          <w:rFonts w:ascii="Times New Roman" w:eastAsia="Calibri" w:hAnsi="Times New Roman" w:cs="Times New Roman"/>
          <w:bCs/>
          <w:sz w:val="22"/>
          <w:szCs w:val="22"/>
          <w:u w:val="single"/>
          <w:lang w:val="en-US"/>
        </w:rPr>
        <w:tab/>
        <w:t>Interference and sharing criteria for EESS and METSAT data transmission systems using non-GSO satellites</w:t>
      </w:r>
    </w:p>
    <w:p w:rsidR="00AD6787" w:rsidRPr="00520897" w:rsidRDefault="002B3CAD" w:rsidP="00AD6787">
      <w:pPr>
        <w:rPr>
          <w:sz w:val="22"/>
          <w:szCs w:val="22"/>
        </w:rPr>
      </w:pPr>
      <w:r w:rsidRPr="00520897">
        <w:rPr>
          <w:sz w:val="22"/>
          <w:szCs w:val="22"/>
        </w:rPr>
        <w:t xml:space="preserve">Preliminary revisions to ITU-R Recommendations dealing with data transmission systems using non-GSO satellites, namely with Rec. ITU-R SA.1026 (interference criteria) and Rec. ITU-R SA.1027 (sharing criteria), were agreed at the </w:t>
      </w:r>
      <w:r w:rsidR="00BF5FE7" w:rsidRPr="00520897">
        <w:rPr>
          <w:sz w:val="22"/>
          <w:szCs w:val="22"/>
        </w:rPr>
        <w:t xml:space="preserve">April 2016 </w:t>
      </w:r>
      <w:r w:rsidRPr="00520897">
        <w:rPr>
          <w:sz w:val="22"/>
          <w:szCs w:val="22"/>
        </w:rPr>
        <w:t xml:space="preserve">meeting </w:t>
      </w:r>
      <w:r w:rsidR="00BF5FE7" w:rsidRPr="00520897">
        <w:rPr>
          <w:sz w:val="22"/>
          <w:szCs w:val="22"/>
        </w:rPr>
        <w:t>of WP 7B</w:t>
      </w:r>
      <w:r w:rsidRPr="00520897">
        <w:rPr>
          <w:sz w:val="22"/>
          <w:szCs w:val="22"/>
        </w:rPr>
        <w:t xml:space="preserve"> with a target for their </w:t>
      </w:r>
      <w:proofErr w:type="spellStart"/>
      <w:r w:rsidRPr="00520897">
        <w:rPr>
          <w:sz w:val="22"/>
          <w:szCs w:val="22"/>
        </w:rPr>
        <w:t>finalisation</w:t>
      </w:r>
      <w:proofErr w:type="spellEnd"/>
      <w:r w:rsidRPr="00520897">
        <w:rPr>
          <w:sz w:val="22"/>
          <w:szCs w:val="22"/>
        </w:rPr>
        <w:t xml:space="preserve"> at </w:t>
      </w:r>
      <w:r w:rsidR="00BF5FE7" w:rsidRPr="00520897">
        <w:rPr>
          <w:sz w:val="22"/>
          <w:szCs w:val="22"/>
        </w:rPr>
        <w:t xml:space="preserve">the October 2016 meeting of </w:t>
      </w:r>
      <w:r w:rsidRPr="00520897">
        <w:rPr>
          <w:sz w:val="22"/>
          <w:szCs w:val="22"/>
        </w:rPr>
        <w:t>WP 7B.</w:t>
      </w:r>
      <w:r w:rsidR="00AD6787" w:rsidRPr="00520897">
        <w:rPr>
          <w:sz w:val="22"/>
          <w:szCs w:val="22"/>
        </w:rPr>
        <w:t xml:space="preserve"> </w:t>
      </w:r>
    </w:p>
    <w:p w:rsidR="002B3CAD" w:rsidRPr="00520897" w:rsidRDefault="00AD6787" w:rsidP="00AD6787">
      <w:pPr>
        <w:rPr>
          <w:sz w:val="22"/>
          <w:szCs w:val="22"/>
          <w:lang w:eastAsia="zh-CN"/>
        </w:rPr>
      </w:pPr>
      <w:r w:rsidRPr="00520897">
        <w:rPr>
          <w:sz w:val="22"/>
          <w:szCs w:val="22"/>
        </w:rPr>
        <w:lastRenderedPageBreak/>
        <w:t xml:space="preserve">With some further modifications at the October 2016 meeting of WP 7B the </w:t>
      </w:r>
      <w:r w:rsidR="002B3CAD" w:rsidRPr="00520897">
        <w:rPr>
          <w:sz w:val="22"/>
          <w:szCs w:val="22"/>
        </w:rPr>
        <w:t xml:space="preserve">draft revision </w:t>
      </w:r>
      <w:r w:rsidRPr="00520897">
        <w:rPr>
          <w:sz w:val="22"/>
          <w:szCs w:val="22"/>
        </w:rPr>
        <w:t xml:space="preserve">Rec. ITU-R SA.1026 </w:t>
      </w:r>
      <w:r w:rsidR="002B3CAD" w:rsidRPr="00520897">
        <w:rPr>
          <w:sz w:val="22"/>
          <w:szCs w:val="22"/>
        </w:rPr>
        <w:t>w</w:t>
      </w:r>
      <w:r w:rsidRPr="00520897">
        <w:rPr>
          <w:sz w:val="22"/>
          <w:szCs w:val="22"/>
        </w:rPr>
        <w:t xml:space="preserve">as agreed and forwarded to SG 7 to be considered at its April 2017 meeting. This revision constitutes a </w:t>
      </w:r>
      <w:r w:rsidR="002B3CAD" w:rsidRPr="00520897">
        <w:rPr>
          <w:sz w:val="22"/>
          <w:szCs w:val="22"/>
        </w:rPr>
        <w:t xml:space="preserve">major simplification </w:t>
      </w:r>
      <w:r w:rsidRPr="00520897">
        <w:rPr>
          <w:sz w:val="22"/>
          <w:szCs w:val="22"/>
        </w:rPr>
        <w:t xml:space="preserve">to this important recommendation in view of WRC-19 agenda item 1.13 (5G) by just </w:t>
      </w:r>
      <w:r w:rsidR="002B3CAD" w:rsidRPr="00520897">
        <w:rPr>
          <w:sz w:val="22"/>
          <w:szCs w:val="22"/>
          <w:lang w:eastAsia="zh-CN"/>
        </w:rPr>
        <w:t xml:space="preserve">retaining a single </w:t>
      </w:r>
      <w:r w:rsidRPr="00520897">
        <w:rPr>
          <w:sz w:val="22"/>
          <w:szCs w:val="22"/>
          <w:lang w:eastAsia="zh-CN"/>
        </w:rPr>
        <w:t xml:space="preserve">interference </w:t>
      </w:r>
      <w:r w:rsidR="002B3CAD" w:rsidRPr="00520897">
        <w:rPr>
          <w:sz w:val="22"/>
          <w:szCs w:val="22"/>
          <w:lang w:eastAsia="zh-CN"/>
        </w:rPr>
        <w:t>criteria per frequency band, based on the most representative reference system for each band.</w:t>
      </w:r>
    </w:p>
    <w:p w:rsidR="002B3CAD" w:rsidRPr="00520897" w:rsidRDefault="00AD6787" w:rsidP="002B3CAD">
      <w:pPr>
        <w:rPr>
          <w:sz w:val="22"/>
          <w:szCs w:val="22"/>
        </w:rPr>
      </w:pPr>
      <w:r w:rsidRPr="00520897">
        <w:rPr>
          <w:sz w:val="22"/>
          <w:szCs w:val="22"/>
        </w:rPr>
        <w:t xml:space="preserve">Consequential to the revisions to Rec. ITU-R SA.1026, the revision to Recommendation ITU-R SA.1027 (sharing criteria) was dealt with in the same way and </w:t>
      </w:r>
      <w:r w:rsidR="002B3CAD" w:rsidRPr="00520897">
        <w:rPr>
          <w:sz w:val="22"/>
          <w:szCs w:val="22"/>
        </w:rPr>
        <w:t xml:space="preserve">was </w:t>
      </w:r>
      <w:r w:rsidRPr="00520897">
        <w:rPr>
          <w:sz w:val="22"/>
          <w:szCs w:val="22"/>
        </w:rPr>
        <w:t xml:space="preserve">also </w:t>
      </w:r>
      <w:r w:rsidR="002B3CAD" w:rsidRPr="00520897">
        <w:rPr>
          <w:sz w:val="22"/>
          <w:szCs w:val="22"/>
        </w:rPr>
        <w:t>forwarded to SG 7.</w:t>
      </w:r>
    </w:p>
    <w:p w:rsidR="002B3CAD" w:rsidRPr="00520897" w:rsidRDefault="00AD6787" w:rsidP="00AD6787">
      <w:pPr>
        <w:pStyle w:val="Headingb"/>
        <w:rPr>
          <w:rFonts w:ascii="Times New Roman" w:eastAsia="Calibri" w:hAnsi="Times New Roman" w:cs="Times New Roman"/>
          <w:bCs/>
          <w:sz w:val="22"/>
          <w:szCs w:val="22"/>
          <w:u w:val="single"/>
          <w:lang w:val="en-US"/>
        </w:rPr>
      </w:pPr>
      <w:r w:rsidRPr="00520897">
        <w:rPr>
          <w:rFonts w:ascii="Times New Roman" w:eastAsia="Calibri" w:hAnsi="Times New Roman" w:cs="Times New Roman"/>
          <w:bCs/>
          <w:sz w:val="22"/>
          <w:szCs w:val="22"/>
          <w:u w:val="single"/>
          <w:lang w:val="en-US"/>
        </w:rPr>
        <w:t>2.3</w:t>
      </w:r>
      <w:r w:rsidR="002B3CAD" w:rsidRPr="00520897">
        <w:rPr>
          <w:rFonts w:ascii="Times New Roman" w:eastAsia="Calibri" w:hAnsi="Times New Roman" w:cs="Times New Roman"/>
          <w:bCs/>
          <w:sz w:val="22"/>
          <w:szCs w:val="22"/>
          <w:u w:val="single"/>
          <w:lang w:val="en-US"/>
        </w:rPr>
        <w:tab/>
        <w:t>Interference and sharing criteria for EESS and METSAT data transmission systems using GSO satellites</w:t>
      </w:r>
    </w:p>
    <w:p w:rsidR="002B3CAD" w:rsidRPr="00520897" w:rsidRDefault="000B08F8" w:rsidP="002B3CAD">
      <w:pPr>
        <w:rPr>
          <w:sz w:val="22"/>
          <w:szCs w:val="22"/>
          <w:lang w:eastAsia="zh-CN"/>
        </w:rPr>
      </w:pPr>
      <w:r w:rsidRPr="00520897">
        <w:rPr>
          <w:sz w:val="22"/>
          <w:szCs w:val="22"/>
        </w:rPr>
        <w:t>Similar to the approach taken for non-GSO, WP 7B worked on the revision</w:t>
      </w:r>
      <w:r w:rsidR="002B3CAD" w:rsidRPr="00520897">
        <w:rPr>
          <w:sz w:val="22"/>
          <w:szCs w:val="22"/>
        </w:rPr>
        <w:t xml:space="preserve"> to ITU-R Recommendations dealing with data transmission systems using GSO satellites, namely Rec. ITU-R SA.1160 (interference criteria) and Rec. ITU-R SA.1161 (sharing criteria) to first, </w:t>
      </w:r>
      <w:r w:rsidR="002B3CAD" w:rsidRPr="00520897">
        <w:rPr>
          <w:sz w:val="22"/>
          <w:szCs w:val="22"/>
          <w:lang w:eastAsia="zh-CN"/>
        </w:rPr>
        <w:t>retaining a single criteria per frequency band and secondly, proposing a new reference system in the 25.5-27 GHz band.</w:t>
      </w:r>
    </w:p>
    <w:p w:rsidR="002B3CAD" w:rsidRPr="00520897" w:rsidRDefault="002B3CAD" w:rsidP="002B3CAD">
      <w:pPr>
        <w:rPr>
          <w:sz w:val="22"/>
          <w:szCs w:val="22"/>
        </w:rPr>
      </w:pPr>
      <w:r w:rsidRPr="00520897">
        <w:rPr>
          <w:sz w:val="22"/>
          <w:szCs w:val="22"/>
        </w:rPr>
        <w:t>The preliminary draft revisions of Recommendations ITU-R SA.1160 and ITU-R SA.1161 were agreed</w:t>
      </w:r>
      <w:r w:rsidR="000B08F8" w:rsidRPr="00520897">
        <w:rPr>
          <w:sz w:val="22"/>
          <w:szCs w:val="22"/>
        </w:rPr>
        <w:t xml:space="preserve"> at the October 2016 meeting of WP 7B with a </w:t>
      </w:r>
      <w:r w:rsidRPr="00520897">
        <w:rPr>
          <w:sz w:val="22"/>
          <w:szCs w:val="22"/>
        </w:rPr>
        <w:t xml:space="preserve">target for their </w:t>
      </w:r>
      <w:proofErr w:type="spellStart"/>
      <w:r w:rsidRPr="00520897">
        <w:rPr>
          <w:sz w:val="22"/>
          <w:szCs w:val="22"/>
        </w:rPr>
        <w:t>finalisation</w:t>
      </w:r>
      <w:proofErr w:type="spellEnd"/>
      <w:r w:rsidRPr="00520897">
        <w:rPr>
          <w:sz w:val="22"/>
          <w:szCs w:val="22"/>
        </w:rPr>
        <w:t xml:space="preserve"> </w:t>
      </w:r>
      <w:r w:rsidR="000B08F8" w:rsidRPr="00520897">
        <w:rPr>
          <w:sz w:val="22"/>
          <w:szCs w:val="22"/>
        </w:rPr>
        <w:t>at</w:t>
      </w:r>
      <w:r w:rsidRPr="00520897">
        <w:rPr>
          <w:sz w:val="22"/>
          <w:szCs w:val="22"/>
        </w:rPr>
        <w:t xml:space="preserve"> the next WP 7B meeting </w:t>
      </w:r>
      <w:r w:rsidR="000B08F8" w:rsidRPr="00520897">
        <w:rPr>
          <w:sz w:val="22"/>
          <w:szCs w:val="22"/>
        </w:rPr>
        <w:t xml:space="preserve">in April 2017 </w:t>
      </w:r>
      <w:r w:rsidRPr="00520897">
        <w:rPr>
          <w:sz w:val="22"/>
          <w:szCs w:val="22"/>
        </w:rPr>
        <w:t>and sending the agreed DRR to the second session of SG 7 in April 2017.</w:t>
      </w:r>
    </w:p>
    <w:p w:rsidR="002B3CAD" w:rsidRPr="00520897" w:rsidRDefault="000B08F8" w:rsidP="002B3CAD">
      <w:pPr>
        <w:rPr>
          <w:sz w:val="22"/>
          <w:szCs w:val="22"/>
        </w:rPr>
      </w:pPr>
      <w:r w:rsidRPr="00520897">
        <w:rPr>
          <w:sz w:val="22"/>
          <w:szCs w:val="22"/>
        </w:rPr>
        <w:t>This is again of particular importance in view of WRC-19 agenda item 1.13 (</w:t>
      </w:r>
      <w:r w:rsidR="00077DC5" w:rsidRPr="00520897">
        <w:rPr>
          <w:sz w:val="22"/>
          <w:szCs w:val="22"/>
        </w:rPr>
        <w:t>IMT &gt;24 GHz</w:t>
      </w:r>
      <w:r w:rsidRPr="00520897">
        <w:rPr>
          <w:sz w:val="22"/>
          <w:szCs w:val="22"/>
        </w:rPr>
        <w:t xml:space="preserve">). Therefore, it is of paramount to </w:t>
      </w:r>
      <w:proofErr w:type="spellStart"/>
      <w:r w:rsidRPr="00520897">
        <w:rPr>
          <w:sz w:val="22"/>
          <w:szCs w:val="22"/>
        </w:rPr>
        <w:t>finalise</w:t>
      </w:r>
      <w:proofErr w:type="spellEnd"/>
      <w:r w:rsidRPr="00520897">
        <w:rPr>
          <w:sz w:val="22"/>
          <w:szCs w:val="22"/>
        </w:rPr>
        <w:t xml:space="preserve"> the revision to Rec. ITU-R SA.1160 </w:t>
      </w:r>
      <w:r w:rsidR="002B3CAD" w:rsidRPr="00520897">
        <w:rPr>
          <w:sz w:val="22"/>
          <w:szCs w:val="22"/>
        </w:rPr>
        <w:t>in particular, to first, verify whether System A described in the preliminary draft revision of Rec. ITU-R SA.1160 for the 25.5-27 GHz band is still relevant and secondly, to provide additional up-to-date reference systems in this band.</w:t>
      </w:r>
    </w:p>
    <w:p w:rsidR="002B3CAD" w:rsidRPr="00520897" w:rsidRDefault="000B08F8" w:rsidP="002B3CAD">
      <w:pPr>
        <w:pStyle w:val="Headingb"/>
        <w:rPr>
          <w:rFonts w:ascii="Times New Roman" w:eastAsia="Calibri" w:hAnsi="Times New Roman" w:cs="Times New Roman"/>
          <w:bCs/>
          <w:sz w:val="22"/>
          <w:szCs w:val="22"/>
          <w:u w:val="single"/>
          <w:lang w:val="en-US"/>
        </w:rPr>
      </w:pPr>
      <w:r w:rsidRPr="00520897">
        <w:rPr>
          <w:rFonts w:ascii="Times New Roman" w:eastAsia="Calibri" w:hAnsi="Times New Roman" w:cs="Times New Roman"/>
          <w:bCs/>
          <w:sz w:val="22"/>
          <w:szCs w:val="22"/>
          <w:u w:val="single"/>
          <w:lang w:val="en-US"/>
        </w:rPr>
        <w:t>2.4</w:t>
      </w:r>
      <w:r w:rsidR="002B3CAD" w:rsidRPr="00520897">
        <w:rPr>
          <w:rFonts w:ascii="Times New Roman" w:eastAsia="Calibri" w:hAnsi="Times New Roman" w:cs="Times New Roman"/>
          <w:bCs/>
          <w:sz w:val="22"/>
          <w:szCs w:val="22"/>
          <w:u w:val="single"/>
          <w:lang w:val="en-US"/>
        </w:rPr>
        <w:tab/>
        <w:t>Interference and sharing criteria for EESS and METSAT DCS</w:t>
      </w:r>
    </w:p>
    <w:p w:rsidR="002B3CAD" w:rsidRPr="00520897" w:rsidRDefault="000B08F8" w:rsidP="002B3CAD">
      <w:pPr>
        <w:rPr>
          <w:sz w:val="22"/>
          <w:szCs w:val="22"/>
        </w:rPr>
      </w:pPr>
      <w:r w:rsidRPr="00520897">
        <w:rPr>
          <w:sz w:val="22"/>
          <w:szCs w:val="22"/>
        </w:rPr>
        <w:t>WP</w:t>
      </w:r>
      <w:r w:rsidR="002B3CAD" w:rsidRPr="00520897">
        <w:rPr>
          <w:sz w:val="22"/>
          <w:szCs w:val="22"/>
        </w:rPr>
        <w:t xml:space="preserve"> 7B</w:t>
      </w:r>
      <w:r w:rsidRPr="00520897">
        <w:rPr>
          <w:sz w:val="22"/>
          <w:szCs w:val="22"/>
        </w:rPr>
        <w:t xml:space="preserve"> also works on the </w:t>
      </w:r>
      <w:r w:rsidR="002B3CAD" w:rsidRPr="00520897">
        <w:rPr>
          <w:sz w:val="22"/>
          <w:szCs w:val="22"/>
        </w:rPr>
        <w:t>revisions to ITU-R Recommendations dealing with data collection systems (DCS) namely Rec. ITU-R SA.1163 (interference criteria) and Rec. ITU-R SA.1164 (sharing criteria).</w:t>
      </w:r>
    </w:p>
    <w:p w:rsidR="006C2597" w:rsidRPr="00520897" w:rsidRDefault="006C2597" w:rsidP="002B3CAD">
      <w:pPr>
        <w:rPr>
          <w:sz w:val="22"/>
          <w:szCs w:val="22"/>
          <w:lang w:eastAsia="zh-CN"/>
        </w:rPr>
      </w:pPr>
      <w:r w:rsidRPr="00520897">
        <w:rPr>
          <w:sz w:val="22"/>
          <w:szCs w:val="22"/>
          <w:lang w:eastAsia="zh-CN"/>
        </w:rPr>
        <w:t xml:space="preserve">The envisaged revisions corrects some </w:t>
      </w:r>
      <w:r w:rsidR="002B3CAD" w:rsidRPr="00520897">
        <w:rPr>
          <w:sz w:val="22"/>
          <w:szCs w:val="22"/>
        </w:rPr>
        <w:t>mistakes</w:t>
      </w:r>
      <w:r w:rsidR="002B3CAD" w:rsidRPr="00520897">
        <w:rPr>
          <w:sz w:val="22"/>
          <w:szCs w:val="22"/>
          <w:lang w:eastAsia="zh-CN"/>
        </w:rPr>
        <w:t xml:space="preserve"> in formulas in current version of Rec. ITU-R SA.1163 and update</w:t>
      </w:r>
      <w:r w:rsidRPr="00520897">
        <w:rPr>
          <w:sz w:val="22"/>
          <w:szCs w:val="22"/>
          <w:lang w:eastAsia="zh-CN"/>
        </w:rPr>
        <w:t xml:space="preserve">s to </w:t>
      </w:r>
      <w:r w:rsidR="002B3CAD" w:rsidRPr="00520897">
        <w:rPr>
          <w:sz w:val="22"/>
          <w:szCs w:val="22"/>
          <w:lang w:eastAsia="zh-CN"/>
        </w:rPr>
        <w:t xml:space="preserve">the reference data collection systems to be used for interference criteria analysis, both leading to new proposed interference criteria. </w:t>
      </w:r>
    </w:p>
    <w:p w:rsidR="002B3CAD" w:rsidRPr="00520897" w:rsidRDefault="006C2597" w:rsidP="002B3CAD">
      <w:pPr>
        <w:rPr>
          <w:sz w:val="22"/>
          <w:szCs w:val="22"/>
          <w:lang w:eastAsia="zh-CN"/>
        </w:rPr>
      </w:pPr>
      <w:r w:rsidRPr="00520897">
        <w:rPr>
          <w:sz w:val="22"/>
          <w:szCs w:val="22"/>
          <w:lang w:eastAsia="zh-CN"/>
        </w:rPr>
        <w:t xml:space="preserve">The revision to </w:t>
      </w:r>
      <w:r w:rsidRPr="00520897">
        <w:rPr>
          <w:sz w:val="22"/>
          <w:szCs w:val="22"/>
        </w:rPr>
        <w:t xml:space="preserve">Rec. ITU-R SA.1164 </w:t>
      </w:r>
      <w:r w:rsidR="002B3CAD" w:rsidRPr="00520897">
        <w:rPr>
          <w:sz w:val="22"/>
          <w:szCs w:val="22"/>
          <w:lang w:eastAsia="zh-CN"/>
        </w:rPr>
        <w:t xml:space="preserve">Document 7B/105 </w:t>
      </w:r>
      <w:r w:rsidRPr="00520897">
        <w:rPr>
          <w:sz w:val="22"/>
          <w:szCs w:val="22"/>
          <w:lang w:eastAsia="zh-CN"/>
        </w:rPr>
        <w:t>contains an update to t</w:t>
      </w:r>
      <w:r w:rsidR="002B3CAD" w:rsidRPr="00520897">
        <w:rPr>
          <w:sz w:val="22"/>
          <w:szCs w:val="22"/>
        </w:rPr>
        <w:t>he parameters used for the apporti</w:t>
      </w:r>
      <w:r w:rsidRPr="00520897">
        <w:rPr>
          <w:sz w:val="22"/>
          <w:szCs w:val="22"/>
        </w:rPr>
        <w:t xml:space="preserve">onment </w:t>
      </w:r>
      <w:r w:rsidR="002B3CAD" w:rsidRPr="00520897">
        <w:rPr>
          <w:sz w:val="22"/>
          <w:szCs w:val="22"/>
        </w:rPr>
        <w:t xml:space="preserve">to </w:t>
      </w:r>
      <w:r w:rsidRPr="00520897">
        <w:rPr>
          <w:sz w:val="22"/>
          <w:szCs w:val="22"/>
        </w:rPr>
        <w:t xml:space="preserve">the </w:t>
      </w:r>
      <w:r w:rsidR="002B3CAD" w:rsidRPr="00520897">
        <w:rPr>
          <w:sz w:val="22"/>
          <w:szCs w:val="22"/>
        </w:rPr>
        <w:t xml:space="preserve">sharing criteria in the band 401-403 </w:t>
      </w:r>
      <w:proofErr w:type="spellStart"/>
      <w:r w:rsidR="002B3CAD" w:rsidRPr="00520897">
        <w:rPr>
          <w:sz w:val="22"/>
          <w:szCs w:val="22"/>
        </w:rPr>
        <w:t>MHz.</w:t>
      </w:r>
      <w:proofErr w:type="spellEnd"/>
    </w:p>
    <w:p w:rsidR="002B3CAD" w:rsidRPr="00520897" w:rsidRDefault="002B3CAD" w:rsidP="002B3CAD">
      <w:pPr>
        <w:rPr>
          <w:sz w:val="22"/>
          <w:szCs w:val="22"/>
        </w:rPr>
      </w:pPr>
      <w:r w:rsidRPr="00520897">
        <w:rPr>
          <w:sz w:val="22"/>
          <w:szCs w:val="22"/>
        </w:rPr>
        <w:t xml:space="preserve">The preliminary draft revisions of Recommendations ITU-R SA.1163 and ITU-R SA.1164 were agreed with the target of their </w:t>
      </w:r>
      <w:proofErr w:type="spellStart"/>
      <w:r w:rsidRPr="00520897">
        <w:rPr>
          <w:sz w:val="22"/>
          <w:szCs w:val="22"/>
        </w:rPr>
        <w:t>finalisation</w:t>
      </w:r>
      <w:proofErr w:type="spellEnd"/>
      <w:r w:rsidRPr="00520897">
        <w:rPr>
          <w:sz w:val="22"/>
          <w:szCs w:val="22"/>
        </w:rPr>
        <w:t xml:space="preserve"> during the next WP 7B meeting </w:t>
      </w:r>
      <w:r w:rsidR="006C2597" w:rsidRPr="00520897">
        <w:rPr>
          <w:sz w:val="22"/>
          <w:szCs w:val="22"/>
        </w:rPr>
        <w:t xml:space="preserve">in April 2017 </w:t>
      </w:r>
      <w:r w:rsidRPr="00520897">
        <w:rPr>
          <w:sz w:val="22"/>
          <w:szCs w:val="22"/>
        </w:rPr>
        <w:t>and sending the agreed DRR to the second session of SG 7 in April 2017.</w:t>
      </w:r>
    </w:p>
    <w:p w:rsidR="002B3CAD" w:rsidRPr="00520897" w:rsidRDefault="006C2597" w:rsidP="002B3CAD">
      <w:pPr>
        <w:rPr>
          <w:sz w:val="22"/>
          <w:szCs w:val="22"/>
        </w:rPr>
      </w:pPr>
      <w:r w:rsidRPr="00520897">
        <w:rPr>
          <w:sz w:val="22"/>
          <w:szCs w:val="22"/>
        </w:rPr>
        <w:t xml:space="preserve">The final review at the April 2017 meeting of WP 7B will focus </w:t>
      </w:r>
      <w:r w:rsidR="002B3CAD" w:rsidRPr="00520897">
        <w:rPr>
          <w:sz w:val="22"/>
          <w:szCs w:val="22"/>
        </w:rPr>
        <w:t xml:space="preserve">in particular to first, verify the new formulas in the preliminary draft revision of Rec. ITU-R SA.1163 and secondly, </w:t>
      </w:r>
      <w:proofErr w:type="spellStart"/>
      <w:r w:rsidR="002B3CAD" w:rsidRPr="00520897">
        <w:rPr>
          <w:sz w:val="22"/>
          <w:szCs w:val="22"/>
        </w:rPr>
        <w:t>analyse</w:t>
      </w:r>
      <w:proofErr w:type="spellEnd"/>
      <w:r w:rsidR="002B3CAD" w:rsidRPr="00520897">
        <w:rPr>
          <w:sz w:val="22"/>
          <w:szCs w:val="22"/>
        </w:rPr>
        <w:t xml:space="preserve"> the new annex proposed in the preliminary draft revision of Rec. ITU-R SA.1164. In addition, consistency of the modifications proposed in both Recommendations will have to be assessed.</w:t>
      </w:r>
    </w:p>
    <w:p w:rsidR="002B3CAD" w:rsidRPr="00520897" w:rsidRDefault="002B3CAD" w:rsidP="002B3CAD">
      <w:pPr>
        <w:spacing w:after="120"/>
        <w:rPr>
          <w:sz w:val="22"/>
          <w:szCs w:val="22"/>
          <w:lang w:eastAsia="zh-CN"/>
        </w:rPr>
      </w:pPr>
      <w:r w:rsidRPr="00520897">
        <w:rPr>
          <w:sz w:val="22"/>
          <w:szCs w:val="22"/>
        </w:rPr>
        <w:t>The following table provides the status of work on EESS/METSAT protection criteria:</w:t>
      </w:r>
    </w:p>
    <w:tbl>
      <w:tblPr>
        <w:tblW w:w="8642" w:type="dxa"/>
        <w:jc w:val="center"/>
        <w:tblCellMar>
          <w:left w:w="10" w:type="dxa"/>
          <w:right w:w="10" w:type="dxa"/>
        </w:tblCellMar>
        <w:tblLook w:val="00A0" w:firstRow="1" w:lastRow="0" w:firstColumn="1" w:lastColumn="0" w:noHBand="0" w:noVBand="0"/>
      </w:tblPr>
      <w:tblGrid>
        <w:gridCol w:w="1132"/>
        <w:gridCol w:w="4548"/>
        <w:gridCol w:w="2962"/>
      </w:tblGrid>
      <w:tr w:rsidR="002B3CAD" w:rsidRPr="00520897" w:rsidTr="002B3CAD">
        <w:trPr>
          <w:tblHeader/>
          <w:jc w:val="center"/>
        </w:trPr>
        <w:tc>
          <w:tcPr>
            <w:tcW w:w="11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3CAD" w:rsidRPr="00520897" w:rsidRDefault="002B3CAD" w:rsidP="0010422F">
            <w:pPr>
              <w:pStyle w:val="Tablehead"/>
              <w:rPr>
                <w:rFonts w:ascii="Times New Roman" w:hAnsi="Times New Roman" w:cs="Times New Roman"/>
                <w:sz w:val="22"/>
                <w:szCs w:val="22"/>
              </w:rPr>
            </w:pPr>
            <w:r w:rsidRPr="00520897">
              <w:rPr>
                <w:rFonts w:ascii="Times New Roman" w:hAnsi="Times New Roman" w:cs="Times New Roman"/>
                <w:sz w:val="22"/>
                <w:szCs w:val="22"/>
              </w:rPr>
              <w:lastRenderedPageBreak/>
              <w:t>Rec. ITU-R</w:t>
            </w:r>
          </w:p>
        </w:tc>
        <w:tc>
          <w:tcPr>
            <w:tcW w:w="4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3CAD" w:rsidRPr="00520897" w:rsidRDefault="002B3CAD" w:rsidP="0010422F">
            <w:pPr>
              <w:pStyle w:val="Tablehead"/>
              <w:rPr>
                <w:rFonts w:ascii="Times New Roman" w:hAnsi="Times New Roman" w:cs="Times New Roman"/>
                <w:sz w:val="22"/>
                <w:szCs w:val="22"/>
              </w:rPr>
            </w:pPr>
            <w:r w:rsidRPr="00520897">
              <w:rPr>
                <w:rFonts w:ascii="Times New Roman" w:hAnsi="Times New Roman" w:cs="Times New Roman"/>
                <w:sz w:val="22"/>
                <w:szCs w:val="22"/>
              </w:rPr>
              <w:t>Recommendation title</w:t>
            </w:r>
          </w:p>
        </w:tc>
        <w:tc>
          <w:tcPr>
            <w:tcW w:w="2962" w:type="dxa"/>
            <w:tcBorders>
              <w:top w:val="single" w:sz="4" w:space="0" w:color="000000"/>
              <w:left w:val="single" w:sz="4" w:space="0" w:color="000000"/>
              <w:bottom w:val="single" w:sz="4" w:space="0" w:color="000000"/>
              <w:right w:val="single" w:sz="4" w:space="0" w:color="000000"/>
            </w:tcBorders>
            <w:vAlign w:val="center"/>
          </w:tcPr>
          <w:p w:rsidR="002B3CAD" w:rsidRPr="00520897" w:rsidRDefault="002B3CAD" w:rsidP="0010422F">
            <w:pPr>
              <w:pStyle w:val="Tablehead"/>
              <w:rPr>
                <w:rFonts w:ascii="Times New Roman" w:hAnsi="Times New Roman" w:cs="Times New Roman"/>
                <w:sz w:val="22"/>
                <w:szCs w:val="22"/>
              </w:rPr>
            </w:pPr>
            <w:r w:rsidRPr="00520897">
              <w:rPr>
                <w:rFonts w:ascii="Times New Roman" w:hAnsi="Times New Roman" w:cs="Times New Roman"/>
                <w:sz w:val="22"/>
                <w:szCs w:val="22"/>
              </w:rPr>
              <w:t>Action</w:t>
            </w:r>
          </w:p>
        </w:tc>
      </w:tr>
      <w:tr w:rsidR="002B3CAD" w:rsidRPr="00520897" w:rsidTr="00520897">
        <w:trPr>
          <w:cantSplit/>
          <w:jc w:val="center"/>
        </w:trPr>
        <w:tc>
          <w:tcPr>
            <w:tcW w:w="11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B3CAD" w:rsidRPr="00520897" w:rsidRDefault="009D6DED" w:rsidP="0010422F">
            <w:pPr>
              <w:pStyle w:val="Tabletext"/>
              <w:jc w:val="center"/>
              <w:rPr>
                <w:sz w:val="22"/>
                <w:szCs w:val="22"/>
              </w:rPr>
            </w:pPr>
            <w:hyperlink r:id="rId11" w:history="1">
              <w:r w:rsidR="002B3CAD" w:rsidRPr="00520897">
                <w:rPr>
                  <w:rStyle w:val="Hyperlink"/>
                  <w:sz w:val="22"/>
                  <w:szCs w:val="22"/>
                </w:rPr>
                <w:t>SA.514-3</w:t>
              </w:r>
            </w:hyperlink>
            <w:r w:rsidR="002B3CAD" w:rsidRPr="00520897">
              <w:rPr>
                <w:sz w:val="22"/>
                <w:szCs w:val="22"/>
              </w:rPr>
              <w:br/>
              <w:t>(1997)</w:t>
            </w:r>
          </w:p>
        </w:tc>
        <w:tc>
          <w:tcPr>
            <w:tcW w:w="4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CAD" w:rsidRPr="00520897" w:rsidRDefault="002B3CAD" w:rsidP="0010422F">
            <w:pPr>
              <w:pStyle w:val="Tabletext"/>
              <w:rPr>
                <w:sz w:val="22"/>
                <w:szCs w:val="22"/>
              </w:rPr>
            </w:pPr>
            <w:r w:rsidRPr="00520897">
              <w:rPr>
                <w:sz w:val="22"/>
                <w:szCs w:val="22"/>
              </w:rPr>
              <w:t xml:space="preserve">Interference criteria for command and data transmission systems operating in the Earth exploration-satellite and meteorological-satellite services </w:t>
            </w:r>
          </w:p>
        </w:tc>
        <w:tc>
          <w:tcPr>
            <w:tcW w:w="2962" w:type="dxa"/>
            <w:tcBorders>
              <w:top w:val="single" w:sz="4" w:space="0" w:color="000000"/>
              <w:left w:val="single" w:sz="4" w:space="0" w:color="000000"/>
              <w:bottom w:val="single" w:sz="4" w:space="0" w:color="000000"/>
              <w:right w:val="single" w:sz="4" w:space="0" w:color="000000"/>
            </w:tcBorders>
          </w:tcPr>
          <w:p w:rsidR="002B3CAD" w:rsidRPr="00520897" w:rsidRDefault="002B3CAD" w:rsidP="0010422F">
            <w:pPr>
              <w:pStyle w:val="Tabletext"/>
              <w:rPr>
                <w:sz w:val="22"/>
                <w:szCs w:val="22"/>
              </w:rPr>
            </w:pPr>
            <w:r w:rsidRPr="00520897">
              <w:rPr>
                <w:sz w:val="22"/>
                <w:szCs w:val="22"/>
              </w:rPr>
              <w:t xml:space="preserve">TBD </w:t>
            </w:r>
          </w:p>
        </w:tc>
      </w:tr>
      <w:tr w:rsidR="002B3CAD" w:rsidRPr="00520897" w:rsidTr="002B3CAD">
        <w:trPr>
          <w:jc w:val="center"/>
        </w:trPr>
        <w:tc>
          <w:tcPr>
            <w:tcW w:w="11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B3CAD" w:rsidRPr="00520897" w:rsidRDefault="009D6DED" w:rsidP="0010422F">
            <w:pPr>
              <w:pStyle w:val="Tabletext"/>
              <w:jc w:val="center"/>
              <w:rPr>
                <w:sz w:val="22"/>
                <w:szCs w:val="22"/>
              </w:rPr>
            </w:pPr>
            <w:hyperlink r:id="rId12" w:history="1">
              <w:r w:rsidR="002B3CAD" w:rsidRPr="00520897">
                <w:rPr>
                  <w:rStyle w:val="Hyperlink"/>
                  <w:sz w:val="22"/>
                  <w:szCs w:val="22"/>
                </w:rPr>
                <w:t>SA.1020</w:t>
              </w:r>
            </w:hyperlink>
            <w:r w:rsidR="002B3CAD" w:rsidRPr="00520897">
              <w:rPr>
                <w:sz w:val="22"/>
                <w:szCs w:val="22"/>
              </w:rPr>
              <w:br/>
              <w:t>(1994)</w:t>
            </w:r>
          </w:p>
        </w:tc>
        <w:tc>
          <w:tcPr>
            <w:tcW w:w="4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CAD" w:rsidRPr="00520897" w:rsidRDefault="002B3CAD" w:rsidP="0010422F">
            <w:pPr>
              <w:pStyle w:val="Tabletext"/>
              <w:rPr>
                <w:sz w:val="22"/>
                <w:szCs w:val="22"/>
              </w:rPr>
            </w:pPr>
            <w:r w:rsidRPr="00520897">
              <w:rPr>
                <w:color w:val="000000"/>
                <w:sz w:val="22"/>
                <w:szCs w:val="22"/>
              </w:rPr>
              <w:t>Hypothetical reference system for the Earth exploration</w:t>
            </w:r>
            <w:r w:rsidRPr="00520897">
              <w:rPr>
                <w:color w:val="000000"/>
                <w:sz w:val="22"/>
                <w:szCs w:val="22"/>
              </w:rPr>
              <w:noBreakHyphen/>
              <w:t>satellite and meteorological-satellite services</w:t>
            </w:r>
          </w:p>
        </w:tc>
        <w:tc>
          <w:tcPr>
            <w:tcW w:w="2962" w:type="dxa"/>
            <w:tcBorders>
              <w:top w:val="single" w:sz="4" w:space="0" w:color="000000"/>
              <w:left w:val="single" w:sz="4" w:space="0" w:color="000000"/>
              <w:bottom w:val="single" w:sz="4" w:space="0" w:color="000000"/>
              <w:right w:val="single" w:sz="4" w:space="0" w:color="000000"/>
            </w:tcBorders>
          </w:tcPr>
          <w:p w:rsidR="002B3CAD" w:rsidRPr="00520897" w:rsidRDefault="002B3CAD" w:rsidP="0010422F">
            <w:pPr>
              <w:pStyle w:val="Tabletext"/>
              <w:rPr>
                <w:sz w:val="22"/>
                <w:szCs w:val="22"/>
              </w:rPr>
            </w:pPr>
            <w:r w:rsidRPr="00520897">
              <w:rPr>
                <w:color w:val="000000"/>
                <w:sz w:val="22"/>
                <w:szCs w:val="22"/>
              </w:rPr>
              <w:t>Unchanged</w:t>
            </w:r>
          </w:p>
        </w:tc>
      </w:tr>
      <w:tr w:rsidR="002B3CAD" w:rsidRPr="00520897" w:rsidTr="002B3CAD">
        <w:trPr>
          <w:jc w:val="center"/>
        </w:trPr>
        <w:tc>
          <w:tcPr>
            <w:tcW w:w="11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B3CAD" w:rsidRPr="00520897" w:rsidRDefault="009D6DED" w:rsidP="0010422F">
            <w:pPr>
              <w:pStyle w:val="Tabletext"/>
              <w:jc w:val="center"/>
              <w:rPr>
                <w:sz w:val="22"/>
                <w:szCs w:val="22"/>
              </w:rPr>
            </w:pPr>
            <w:hyperlink r:id="rId13" w:history="1">
              <w:r w:rsidR="002B3CAD" w:rsidRPr="00520897">
                <w:rPr>
                  <w:rStyle w:val="Hyperlink"/>
                  <w:sz w:val="22"/>
                  <w:szCs w:val="22"/>
                </w:rPr>
                <w:t>SA.1021</w:t>
              </w:r>
            </w:hyperlink>
            <w:r w:rsidR="002B3CAD" w:rsidRPr="00520897">
              <w:rPr>
                <w:sz w:val="22"/>
                <w:szCs w:val="22"/>
              </w:rPr>
              <w:br/>
              <w:t>(1994)</w:t>
            </w:r>
          </w:p>
        </w:tc>
        <w:tc>
          <w:tcPr>
            <w:tcW w:w="4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CAD" w:rsidRPr="00520897" w:rsidRDefault="002B3CAD" w:rsidP="0010422F">
            <w:pPr>
              <w:pStyle w:val="Tabletext"/>
              <w:rPr>
                <w:sz w:val="22"/>
                <w:szCs w:val="22"/>
              </w:rPr>
            </w:pPr>
            <w:r w:rsidRPr="00520897">
              <w:rPr>
                <w:color w:val="000000"/>
                <w:sz w:val="22"/>
                <w:szCs w:val="22"/>
              </w:rPr>
              <w:t>Methodology for determining performance objectives for systems in the Earth exploration</w:t>
            </w:r>
            <w:r w:rsidRPr="00520897">
              <w:rPr>
                <w:color w:val="000000"/>
                <w:sz w:val="22"/>
                <w:szCs w:val="22"/>
              </w:rPr>
              <w:noBreakHyphen/>
              <w:t xml:space="preserve">satellite and meteorological-satellite services </w:t>
            </w:r>
          </w:p>
        </w:tc>
        <w:tc>
          <w:tcPr>
            <w:tcW w:w="2962" w:type="dxa"/>
            <w:tcBorders>
              <w:top w:val="single" w:sz="4" w:space="0" w:color="000000"/>
              <w:left w:val="single" w:sz="4" w:space="0" w:color="000000"/>
              <w:bottom w:val="single" w:sz="4" w:space="0" w:color="000000"/>
              <w:right w:val="single" w:sz="4" w:space="0" w:color="000000"/>
            </w:tcBorders>
          </w:tcPr>
          <w:p w:rsidR="002B3CAD" w:rsidRPr="00520897" w:rsidRDefault="002B3CAD" w:rsidP="0010422F">
            <w:pPr>
              <w:pStyle w:val="Tabletext"/>
              <w:rPr>
                <w:sz w:val="22"/>
                <w:szCs w:val="22"/>
              </w:rPr>
            </w:pPr>
            <w:r w:rsidRPr="00520897">
              <w:rPr>
                <w:color w:val="000000"/>
                <w:sz w:val="22"/>
                <w:szCs w:val="22"/>
              </w:rPr>
              <w:t>Unchanged</w:t>
            </w:r>
          </w:p>
        </w:tc>
      </w:tr>
      <w:tr w:rsidR="002B3CAD" w:rsidRPr="00520897" w:rsidTr="002B3CAD">
        <w:trPr>
          <w:jc w:val="center"/>
        </w:trPr>
        <w:tc>
          <w:tcPr>
            <w:tcW w:w="11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B3CAD" w:rsidRPr="00520897" w:rsidRDefault="009D6DED" w:rsidP="0010422F">
            <w:pPr>
              <w:pStyle w:val="Tabletext"/>
              <w:jc w:val="center"/>
              <w:rPr>
                <w:sz w:val="22"/>
                <w:szCs w:val="22"/>
              </w:rPr>
            </w:pPr>
            <w:hyperlink r:id="rId14" w:history="1">
              <w:r w:rsidR="002B3CAD" w:rsidRPr="00520897">
                <w:rPr>
                  <w:rStyle w:val="Hyperlink"/>
                  <w:sz w:val="22"/>
                  <w:szCs w:val="22"/>
                </w:rPr>
                <w:t>SA.1022-1</w:t>
              </w:r>
            </w:hyperlink>
            <w:r w:rsidR="002B3CAD" w:rsidRPr="00520897">
              <w:rPr>
                <w:sz w:val="22"/>
                <w:szCs w:val="22"/>
              </w:rPr>
              <w:br/>
              <w:t>(1999)</w:t>
            </w:r>
          </w:p>
        </w:tc>
        <w:tc>
          <w:tcPr>
            <w:tcW w:w="4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CAD" w:rsidRPr="00520897" w:rsidRDefault="002B3CAD" w:rsidP="0010422F">
            <w:pPr>
              <w:pStyle w:val="Tabletext"/>
              <w:rPr>
                <w:sz w:val="22"/>
                <w:szCs w:val="22"/>
              </w:rPr>
            </w:pPr>
            <w:r w:rsidRPr="00520897">
              <w:rPr>
                <w:sz w:val="22"/>
                <w:szCs w:val="22"/>
              </w:rPr>
              <w:t>Methodology for determining interference criteria for systems in the Earth exploration-satellite and meteorological-satellite services</w:t>
            </w:r>
          </w:p>
        </w:tc>
        <w:tc>
          <w:tcPr>
            <w:tcW w:w="2962" w:type="dxa"/>
            <w:tcBorders>
              <w:top w:val="single" w:sz="4" w:space="0" w:color="000000"/>
              <w:left w:val="single" w:sz="4" w:space="0" w:color="000000"/>
              <w:bottom w:val="single" w:sz="4" w:space="0" w:color="000000"/>
              <w:right w:val="single" w:sz="4" w:space="0" w:color="000000"/>
            </w:tcBorders>
          </w:tcPr>
          <w:p w:rsidR="002B3CAD" w:rsidRPr="00520897" w:rsidRDefault="002B3CAD" w:rsidP="0010422F">
            <w:pPr>
              <w:pStyle w:val="Tabletext"/>
              <w:rPr>
                <w:sz w:val="22"/>
                <w:szCs w:val="22"/>
              </w:rPr>
            </w:pPr>
            <w:r w:rsidRPr="00520897">
              <w:rPr>
                <w:color w:val="000000"/>
                <w:sz w:val="22"/>
                <w:szCs w:val="22"/>
              </w:rPr>
              <w:t>Unchanged</w:t>
            </w:r>
          </w:p>
        </w:tc>
      </w:tr>
      <w:tr w:rsidR="002B3CAD" w:rsidRPr="00520897" w:rsidTr="002B3CAD">
        <w:trPr>
          <w:jc w:val="center"/>
        </w:trPr>
        <w:tc>
          <w:tcPr>
            <w:tcW w:w="11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B3CAD" w:rsidRPr="00520897" w:rsidRDefault="009D6DED" w:rsidP="0010422F">
            <w:pPr>
              <w:pStyle w:val="Tabletext"/>
              <w:jc w:val="center"/>
              <w:rPr>
                <w:sz w:val="22"/>
                <w:szCs w:val="22"/>
              </w:rPr>
            </w:pPr>
            <w:hyperlink r:id="rId15" w:history="1">
              <w:r w:rsidR="002B3CAD" w:rsidRPr="00520897">
                <w:rPr>
                  <w:rStyle w:val="Hyperlink"/>
                  <w:sz w:val="22"/>
                  <w:szCs w:val="22"/>
                </w:rPr>
                <w:t>SA.1023</w:t>
              </w:r>
            </w:hyperlink>
            <w:r w:rsidR="002B3CAD" w:rsidRPr="00520897">
              <w:rPr>
                <w:sz w:val="22"/>
                <w:szCs w:val="22"/>
              </w:rPr>
              <w:br/>
              <w:t>(1994)</w:t>
            </w:r>
          </w:p>
        </w:tc>
        <w:tc>
          <w:tcPr>
            <w:tcW w:w="4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CAD" w:rsidRPr="00520897" w:rsidRDefault="002B3CAD" w:rsidP="0010422F">
            <w:pPr>
              <w:pStyle w:val="Tabletext"/>
              <w:rPr>
                <w:sz w:val="22"/>
                <w:szCs w:val="22"/>
              </w:rPr>
            </w:pPr>
            <w:r w:rsidRPr="00520897">
              <w:rPr>
                <w:sz w:val="22"/>
                <w:szCs w:val="22"/>
              </w:rPr>
              <w:t>Methodology for determining sharing and coordination criteria for systems in the Earth exploration-satellite and meteorological-satellite services</w:t>
            </w:r>
          </w:p>
        </w:tc>
        <w:tc>
          <w:tcPr>
            <w:tcW w:w="2962" w:type="dxa"/>
            <w:tcBorders>
              <w:top w:val="single" w:sz="4" w:space="0" w:color="000000"/>
              <w:left w:val="single" w:sz="4" w:space="0" w:color="000000"/>
              <w:bottom w:val="single" w:sz="4" w:space="0" w:color="000000"/>
              <w:right w:val="single" w:sz="4" w:space="0" w:color="000000"/>
            </w:tcBorders>
          </w:tcPr>
          <w:p w:rsidR="002B3CAD" w:rsidRPr="00520897" w:rsidRDefault="002B3CAD" w:rsidP="0010422F">
            <w:pPr>
              <w:pStyle w:val="Tabletext"/>
              <w:rPr>
                <w:sz w:val="22"/>
                <w:szCs w:val="22"/>
              </w:rPr>
            </w:pPr>
            <w:r w:rsidRPr="00520897">
              <w:rPr>
                <w:color w:val="000000"/>
                <w:sz w:val="22"/>
                <w:szCs w:val="22"/>
              </w:rPr>
              <w:t>Unchanged</w:t>
            </w:r>
          </w:p>
        </w:tc>
      </w:tr>
      <w:tr w:rsidR="002B3CAD" w:rsidRPr="00520897" w:rsidTr="002B3CAD">
        <w:trPr>
          <w:jc w:val="center"/>
        </w:trPr>
        <w:tc>
          <w:tcPr>
            <w:tcW w:w="11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B3CAD" w:rsidRPr="00520897" w:rsidRDefault="009D6DED" w:rsidP="0010422F">
            <w:pPr>
              <w:pStyle w:val="Tabletext"/>
              <w:jc w:val="center"/>
              <w:rPr>
                <w:sz w:val="22"/>
                <w:szCs w:val="22"/>
              </w:rPr>
            </w:pPr>
            <w:hyperlink r:id="rId16" w:history="1">
              <w:r w:rsidR="002B3CAD" w:rsidRPr="00520897">
                <w:rPr>
                  <w:rStyle w:val="Hyperlink"/>
                  <w:sz w:val="22"/>
                  <w:szCs w:val="22"/>
                </w:rPr>
                <w:t>SA.1025-3</w:t>
              </w:r>
            </w:hyperlink>
            <w:r w:rsidR="002B3CAD" w:rsidRPr="00520897">
              <w:rPr>
                <w:sz w:val="22"/>
                <w:szCs w:val="22"/>
              </w:rPr>
              <w:br/>
              <w:t>(1999)</w:t>
            </w:r>
          </w:p>
        </w:tc>
        <w:tc>
          <w:tcPr>
            <w:tcW w:w="4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CAD" w:rsidRPr="00520897" w:rsidRDefault="002B3CAD" w:rsidP="0010422F">
            <w:pPr>
              <w:pStyle w:val="Tabletext"/>
              <w:rPr>
                <w:sz w:val="22"/>
                <w:szCs w:val="22"/>
              </w:rPr>
            </w:pPr>
            <w:r w:rsidRPr="00520897">
              <w:rPr>
                <w:color w:val="000000"/>
                <w:sz w:val="22"/>
                <w:szCs w:val="22"/>
              </w:rPr>
              <w:t>Performance criteria for space-to-Earth data transmission systems operating in the Earth exploration-satellite and meteorological-satellite services using satellites in low-Earth orbit</w:t>
            </w:r>
          </w:p>
        </w:tc>
        <w:tc>
          <w:tcPr>
            <w:tcW w:w="2962" w:type="dxa"/>
            <w:tcBorders>
              <w:top w:val="single" w:sz="4" w:space="0" w:color="000000"/>
              <w:left w:val="single" w:sz="4" w:space="0" w:color="000000"/>
              <w:bottom w:val="single" w:sz="4" w:space="0" w:color="000000"/>
              <w:right w:val="single" w:sz="4" w:space="0" w:color="000000"/>
            </w:tcBorders>
          </w:tcPr>
          <w:p w:rsidR="002B3CAD" w:rsidRPr="00520897" w:rsidRDefault="002B3CAD" w:rsidP="0010422F">
            <w:pPr>
              <w:pStyle w:val="Tabletext"/>
              <w:rPr>
                <w:sz w:val="22"/>
                <w:szCs w:val="22"/>
              </w:rPr>
            </w:pPr>
            <w:r w:rsidRPr="00520897">
              <w:rPr>
                <w:color w:val="000000"/>
                <w:sz w:val="22"/>
                <w:szCs w:val="22"/>
              </w:rPr>
              <w:t>Proposed for suppression in April 2017 SG 7 (2</w:t>
            </w:r>
            <w:r w:rsidRPr="00520897">
              <w:rPr>
                <w:color w:val="000000"/>
                <w:sz w:val="22"/>
                <w:szCs w:val="22"/>
                <w:vertAlign w:val="superscript"/>
              </w:rPr>
              <w:t>nd</w:t>
            </w:r>
            <w:r w:rsidRPr="00520897">
              <w:rPr>
                <w:color w:val="000000"/>
                <w:sz w:val="22"/>
                <w:szCs w:val="22"/>
              </w:rPr>
              <w:t xml:space="preserve"> session) in conjunction with approval of revised SA.1159.</w:t>
            </w:r>
          </w:p>
        </w:tc>
      </w:tr>
      <w:tr w:rsidR="002B3CAD" w:rsidRPr="00520897" w:rsidTr="002B3CAD">
        <w:trPr>
          <w:jc w:val="center"/>
        </w:trPr>
        <w:tc>
          <w:tcPr>
            <w:tcW w:w="11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B3CAD" w:rsidRPr="00520897" w:rsidRDefault="009D6DED" w:rsidP="0010422F">
            <w:pPr>
              <w:pStyle w:val="Tabletext"/>
              <w:jc w:val="center"/>
              <w:rPr>
                <w:sz w:val="22"/>
                <w:szCs w:val="22"/>
              </w:rPr>
            </w:pPr>
            <w:hyperlink r:id="rId17" w:history="1">
              <w:r w:rsidR="002B3CAD" w:rsidRPr="00520897">
                <w:rPr>
                  <w:rStyle w:val="Hyperlink"/>
                  <w:sz w:val="22"/>
                  <w:szCs w:val="22"/>
                </w:rPr>
                <w:t>SA.1026-4</w:t>
              </w:r>
            </w:hyperlink>
            <w:r w:rsidR="002B3CAD" w:rsidRPr="00520897">
              <w:rPr>
                <w:sz w:val="22"/>
                <w:szCs w:val="22"/>
              </w:rPr>
              <w:br/>
              <w:t>(2009)</w:t>
            </w:r>
          </w:p>
        </w:tc>
        <w:tc>
          <w:tcPr>
            <w:tcW w:w="4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CAD" w:rsidRPr="00520897" w:rsidRDefault="002B3CAD" w:rsidP="0010422F">
            <w:pPr>
              <w:pStyle w:val="Tabletext"/>
              <w:rPr>
                <w:sz w:val="22"/>
                <w:szCs w:val="22"/>
              </w:rPr>
            </w:pPr>
            <w:r w:rsidRPr="00520897">
              <w:rPr>
                <w:sz w:val="22"/>
                <w:szCs w:val="22"/>
              </w:rPr>
              <w:t>Aggregate interference criteria for space-to-Earth data transmission systems operating in the Earth exploration-satellite and meteorological-satellite services using satellites in low-Earth orbit</w:t>
            </w:r>
          </w:p>
        </w:tc>
        <w:tc>
          <w:tcPr>
            <w:tcW w:w="2962" w:type="dxa"/>
            <w:tcBorders>
              <w:top w:val="single" w:sz="4" w:space="0" w:color="000000"/>
              <w:left w:val="single" w:sz="4" w:space="0" w:color="000000"/>
              <w:bottom w:val="single" w:sz="4" w:space="0" w:color="000000"/>
              <w:right w:val="single" w:sz="4" w:space="0" w:color="000000"/>
            </w:tcBorders>
          </w:tcPr>
          <w:p w:rsidR="002B3CAD" w:rsidRPr="00520897" w:rsidRDefault="002B3CAD" w:rsidP="0010422F">
            <w:pPr>
              <w:pStyle w:val="Tabletext"/>
              <w:rPr>
                <w:sz w:val="22"/>
                <w:szCs w:val="22"/>
              </w:rPr>
            </w:pPr>
            <w:r w:rsidRPr="00520897">
              <w:rPr>
                <w:color w:val="000000"/>
                <w:sz w:val="22"/>
                <w:szCs w:val="22"/>
              </w:rPr>
              <w:t>Proposed for revision. DRR sent to April 2017 SG 7 (1</w:t>
            </w:r>
            <w:r w:rsidRPr="00520897">
              <w:rPr>
                <w:color w:val="000000"/>
                <w:sz w:val="22"/>
                <w:szCs w:val="22"/>
                <w:vertAlign w:val="superscript"/>
              </w:rPr>
              <w:t>st</w:t>
            </w:r>
            <w:r w:rsidRPr="00520897">
              <w:rPr>
                <w:color w:val="000000"/>
                <w:sz w:val="22"/>
                <w:szCs w:val="22"/>
              </w:rPr>
              <w:t xml:space="preserve"> session)</w:t>
            </w:r>
          </w:p>
        </w:tc>
      </w:tr>
      <w:tr w:rsidR="002B3CAD" w:rsidRPr="00520897" w:rsidTr="002B3CAD">
        <w:trPr>
          <w:jc w:val="center"/>
        </w:trPr>
        <w:tc>
          <w:tcPr>
            <w:tcW w:w="11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B3CAD" w:rsidRPr="00520897" w:rsidRDefault="009D6DED" w:rsidP="0010422F">
            <w:pPr>
              <w:pStyle w:val="Tabletext"/>
              <w:jc w:val="center"/>
              <w:rPr>
                <w:sz w:val="22"/>
                <w:szCs w:val="22"/>
              </w:rPr>
            </w:pPr>
            <w:hyperlink r:id="rId18" w:history="1">
              <w:r w:rsidR="002B3CAD" w:rsidRPr="00520897">
                <w:rPr>
                  <w:rStyle w:val="Hyperlink"/>
                  <w:sz w:val="22"/>
                  <w:szCs w:val="22"/>
                </w:rPr>
                <w:t>SA.1027-4</w:t>
              </w:r>
            </w:hyperlink>
            <w:r w:rsidR="002B3CAD" w:rsidRPr="00520897">
              <w:rPr>
                <w:sz w:val="22"/>
                <w:szCs w:val="22"/>
              </w:rPr>
              <w:br/>
              <w:t>(2009)</w:t>
            </w:r>
          </w:p>
        </w:tc>
        <w:tc>
          <w:tcPr>
            <w:tcW w:w="4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CAD" w:rsidRPr="00520897" w:rsidRDefault="002B3CAD" w:rsidP="0010422F">
            <w:pPr>
              <w:pStyle w:val="Tabletext"/>
              <w:rPr>
                <w:sz w:val="22"/>
                <w:szCs w:val="22"/>
              </w:rPr>
            </w:pPr>
            <w:r w:rsidRPr="00520897">
              <w:rPr>
                <w:sz w:val="22"/>
                <w:szCs w:val="22"/>
              </w:rPr>
              <w:t>Sharing criteria for space-to-Earth data transmission systems in the Earth exploration-satellite and meteorological-satellite services using satellites in low-Earth orbit</w:t>
            </w:r>
          </w:p>
        </w:tc>
        <w:tc>
          <w:tcPr>
            <w:tcW w:w="2962" w:type="dxa"/>
            <w:tcBorders>
              <w:top w:val="single" w:sz="4" w:space="0" w:color="000000"/>
              <w:left w:val="single" w:sz="4" w:space="0" w:color="000000"/>
              <w:bottom w:val="single" w:sz="4" w:space="0" w:color="000000"/>
              <w:right w:val="single" w:sz="4" w:space="0" w:color="000000"/>
            </w:tcBorders>
          </w:tcPr>
          <w:p w:rsidR="002B3CAD" w:rsidRPr="00520897" w:rsidRDefault="002B3CAD" w:rsidP="0010422F">
            <w:pPr>
              <w:pStyle w:val="Tabletext"/>
              <w:rPr>
                <w:sz w:val="22"/>
                <w:szCs w:val="22"/>
              </w:rPr>
            </w:pPr>
            <w:r w:rsidRPr="00520897">
              <w:rPr>
                <w:color w:val="000000"/>
                <w:sz w:val="22"/>
                <w:szCs w:val="22"/>
              </w:rPr>
              <w:t>Proposed for revision. DRR sent to April 2017 SG 7 (1</w:t>
            </w:r>
            <w:r w:rsidRPr="00520897">
              <w:rPr>
                <w:color w:val="000000"/>
                <w:sz w:val="22"/>
                <w:szCs w:val="22"/>
                <w:vertAlign w:val="superscript"/>
              </w:rPr>
              <w:t>st</w:t>
            </w:r>
            <w:r w:rsidRPr="00520897">
              <w:rPr>
                <w:color w:val="000000"/>
                <w:sz w:val="22"/>
                <w:szCs w:val="22"/>
              </w:rPr>
              <w:t xml:space="preserve"> session)</w:t>
            </w:r>
          </w:p>
        </w:tc>
      </w:tr>
      <w:tr w:rsidR="002B3CAD" w:rsidRPr="00520897" w:rsidTr="002B3CAD">
        <w:trPr>
          <w:jc w:val="center"/>
        </w:trPr>
        <w:tc>
          <w:tcPr>
            <w:tcW w:w="11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B3CAD" w:rsidRPr="00520897" w:rsidRDefault="009D6DED" w:rsidP="0010422F">
            <w:pPr>
              <w:pStyle w:val="Tabletext"/>
              <w:jc w:val="center"/>
              <w:rPr>
                <w:sz w:val="22"/>
                <w:szCs w:val="22"/>
              </w:rPr>
            </w:pPr>
            <w:hyperlink r:id="rId19" w:history="1">
              <w:r w:rsidR="002B3CAD" w:rsidRPr="00520897">
                <w:rPr>
                  <w:rStyle w:val="Hyperlink"/>
                  <w:sz w:val="22"/>
                  <w:szCs w:val="22"/>
                </w:rPr>
                <w:t>SA.1159-3</w:t>
              </w:r>
            </w:hyperlink>
            <w:r w:rsidR="002B3CAD" w:rsidRPr="00520897">
              <w:rPr>
                <w:sz w:val="22"/>
                <w:szCs w:val="22"/>
              </w:rPr>
              <w:br/>
              <w:t>(2006)</w:t>
            </w:r>
          </w:p>
        </w:tc>
        <w:tc>
          <w:tcPr>
            <w:tcW w:w="4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CAD" w:rsidRPr="00520897" w:rsidRDefault="002B3CAD" w:rsidP="0010422F">
            <w:pPr>
              <w:pStyle w:val="Tabletext"/>
              <w:rPr>
                <w:sz w:val="22"/>
                <w:szCs w:val="22"/>
              </w:rPr>
            </w:pPr>
            <w:r w:rsidRPr="00520897">
              <w:rPr>
                <w:color w:val="000000"/>
                <w:sz w:val="22"/>
                <w:szCs w:val="22"/>
              </w:rPr>
              <w:t>Performance criteria for data dissemination, data collection and direct data readout systems in the Earth exploration-satellite service and meteorological-satellite service</w:t>
            </w:r>
          </w:p>
        </w:tc>
        <w:tc>
          <w:tcPr>
            <w:tcW w:w="2962" w:type="dxa"/>
            <w:tcBorders>
              <w:top w:val="single" w:sz="4" w:space="0" w:color="000000"/>
              <w:left w:val="single" w:sz="4" w:space="0" w:color="000000"/>
              <w:bottom w:val="single" w:sz="4" w:space="0" w:color="000000"/>
              <w:right w:val="single" w:sz="4" w:space="0" w:color="000000"/>
            </w:tcBorders>
          </w:tcPr>
          <w:p w:rsidR="002B3CAD" w:rsidRPr="00520897" w:rsidRDefault="002B3CAD" w:rsidP="0010422F">
            <w:pPr>
              <w:pStyle w:val="Tabletext"/>
              <w:rPr>
                <w:sz w:val="22"/>
                <w:szCs w:val="22"/>
              </w:rPr>
            </w:pPr>
            <w:r w:rsidRPr="00520897">
              <w:rPr>
                <w:color w:val="000000"/>
                <w:sz w:val="22"/>
                <w:szCs w:val="22"/>
              </w:rPr>
              <w:t>Proposed for revision. PDRR considered at October 2016 WP 7B. Target DRR in April 2017 SG 7 (2</w:t>
            </w:r>
            <w:r w:rsidRPr="00520897">
              <w:rPr>
                <w:color w:val="000000"/>
                <w:sz w:val="22"/>
                <w:szCs w:val="22"/>
                <w:vertAlign w:val="superscript"/>
              </w:rPr>
              <w:t>nd</w:t>
            </w:r>
            <w:r w:rsidRPr="00520897">
              <w:rPr>
                <w:color w:val="000000"/>
                <w:sz w:val="22"/>
                <w:szCs w:val="22"/>
              </w:rPr>
              <w:t xml:space="preserve"> session)</w:t>
            </w:r>
            <w:r w:rsidRPr="00520897">
              <w:rPr>
                <w:sz w:val="22"/>
                <w:szCs w:val="22"/>
              </w:rPr>
              <w:t xml:space="preserve"> </w:t>
            </w:r>
          </w:p>
        </w:tc>
      </w:tr>
      <w:tr w:rsidR="002B3CAD" w:rsidRPr="00520897" w:rsidTr="002B3CAD">
        <w:trPr>
          <w:jc w:val="center"/>
        </w:trPr>
        <w:tc>
          <w:tcPr>
            <w:tcW w:w="11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B3CAD" w:rsidRPr="00520897" w:rsidRDefault="009D6DED" w:rsidP="0010422F">
            <w:pPr>
              <w:pStyle w:val="Tabletext"/>
              <w:jc w:val="center"/>
              <w:rPr>
                <w:sz w:val="22"/>
                <w:szCs w:val="22"/>
              </w:rPr>
            </w:pPr>
            <w:hyperlink r:id="rId20" w:history="1">
              <w:r w:rsidR="002B3CAD" w:rsidRPr="00520897">
                <w:rPr>
                  <w:rStyle w:val="Hyperlink"/>
                  <w:sz w:val="22"/>
                  <w:szCs w:val="22"/>
                </w:rPr>
                <w:t>SA.1160-2</w:t>
              </w:r>
            </w:hyperlink>
            <w:r w:rsidR="002B3CAD" w:rsidRPr="00520897">
              <w:rPr>
                <w:sz w:val="22"/>
                <w:szCs w:val="22"/>
              </w:rPr>
              <w:br/>
              <w:t>(1999)</w:t>
            </w:r>
          </w:p>
        </w:tc>
        <w:tc>
          <w:tcPr>
            <w:tcW w:w="4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CAD" w:rsidRPr="00520897" w:rsidRDefault="002B3CAD" w:rsidP="0010422F">
            <w:pPr>
              <w:pStyle w:val="Tabletext"/>
              <w:rPr>
                <w:sz w:val="22"/>
                <w:szCs w:val="22"/>
              </w:rPr>
            </w:pPr>
            <w:r w:rsidRPr="00520897">
              <w:rPr>
                <w:sz w:val="22"/>
                <w:szCs w:val="22"/>
              </w:rPr>
              <w:t>Interference criteria for data dissemination and direct data readout systems in the earth exploration-satellite and meteorological-satellite services using satellites in the geostationary orbit</w:t>
            </w:r>
          </w:p>
        </w:tc>
        <w:tc>
          <w:tcPr>
            <w:tcW w:w="2962" w:type="dxa"/>
            <w:tcBorders>
              <w:top w:val="single" w:sz="4" w:space="0" w:color="000000"/>
              <w:left w:val="single" w:sz="4" w:space="0" w:color="000000"/>
              <w:bottom w:val="single" w:sz="4" w:space="0" w:color="000000"/>
              <w:right w:val="single" w:sz="4" w:space="0" w:color="000000"/>
            </w:tcBorders>
          </w:tcPr>
          <w:p w:rsidR="002B3CAD" w:rsidRPr="00520897" w:rsidRDefault="002B3CAD" w:rsidP="0010422F">
            <w:pPr>
              <w:pStyle w:val="Tabletext"/>
              <w:rPr>
                <w:sz w:val="22"/>
                <w:szCs w:val="22"/>
              </w:rPr>
            </w:pPr>
            <w:r w:rsidRPr="00520897">
              <w:rPr>
                <w:color w:val="000000"/>
                <w:sz w:val="22"/>
                <w:szCs w:val="22"/>
              </w:rPr>
              <w:t>Proposed for revision. PDRR considered at October 2016 WP 7B. Target DRR in April 2017 SG 7 (2</w:t>
            </w:r>
            <w:r w:rsidRPr="00520897">
              <w:rPr>
                <w:color w:val="000000"/>
                <w:sz w:val="22"/>
                <w:szCs w:val="22"/>
                <w:vertAlign w:val="superscript"/>
              </w:rPr>
              <w:t>nd</w:t>
            </w:r>
            <w:r w:rsidRPr="00520897">
              <w:rPr>
                <w:color w:val="000000"/>
                <w:sz w:val="22"/>
                <w:szCs w:val="22"/>
              </w:rPr>
              <w:t xml:space="preserve"> session)</w:t>
            </w:r>
            <w:r w:rsidRPr="00520897">
              <w:rPr>
                <w:sz w:val="22"/>
                <w:szCs w:val="22"/>
              </w:rPr>
              <w:t xml:space="preserve"> </w:t>
            </w:r>
          </w:p>
        </w:tc>
      </w:tr>
      <w:tr w:rsidR="002B3CAD" w:rsidRPr="00520897" w:rsidTr="002B3CAD">
        <w:trPr>
          <w:jc w:val="center"/>
        </w:trPr>
        <w:tc>
          <w:tcPr>
            <w:tcW w:w="11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B3CAD" w:rsidRPr="00520897" w:rsidRDefault="009D6DED" w:rsidP="0010422F">
            <w:pPr>
              <w:pStyle w:val="Tabletext"/>
              <w:jc w:val="center"/>
              <w:rPr>
                <w:sz w:val="22"/>
                <w:szCs w:val="22"/>
              </w:rPr>
            </w:pPr>
            <w:hyperlink r:id="rId21" w:history="1">
              <w:r w:rsidR="002B3CAD" w:rsidRPr="00520897">
                <w:rPr>
                  <w:rStyle w:val="Hyperlink"/>
                  <w:sz w:val="22"/>
                  <w:szCs w:val="22"/>
                </w:rPr>
                <w:t>SA.1161-1</w:t>
              </w:r>
            </w:hyperlink>
            <w:r w:rsidR="002B3CAD" w:rsidRPr="00520897">
              <w:rPr>
                <w:sz w:val="22"/>
                <w:szCs w:val="22"/>
              </w:rPr>
              <w:br/>
              <w:t>(1999)</w:t>
            </w:r>
          </w:p>
        </w:tc>
        <w:tc>
          <w:tcPr>
            <w:tcW w:w="4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CAD" w:rsidRPr="00520897" w:rsidRDefault="002B3CAD" w:rsidP="0010422F">
            <w:pPr>
              <w:pStyle w:val="Tabletext"/>
              <w:rPr>
                <w:sz w:val="22"/>
                <w:szCs w:val="22"/>
              </w:rPr>
            </w:pPr>
            <w:r w:rsidRPr="00520897">
              <w:rPr>
                <w:sz w:val="22"/>
                <w:szCs w:val="22"/>
              </w:rPr>
              <w:t>Sharing and coordination criteria for data dissemination and direct data readout systems in the Earth exploration-satellite and meteorological-satellite services using satellites in geostationary orbit</w:t>
            </w:r>
          </w:p>
        </w:tc>
        <w:tc>
          <w:tcPr>
            <w:tcW w:w="2962" w:type="dxa"/>
            <w:tcBorders>
              <w:top w:val="single" w:sz="4" w:space="0" w:color="000000"/>
              <w:left w:val="single" w:sz="4" w:space="0" w:color="000000"/>
              <w:bottom w:val="single" w:sz="4" w:space="0" w:color="000000"/>
              <w:right w:val="single" w:sz="4" w:space="0" w:color="000000"/>
            </w:tcBorders>
          </w:tcPr>
          <w:p w:rsidR="002B3CAD" w:rsidRPr="00520897" w:rsidRDefault="002B3CAD" w:rsidP="0010422F">
            <w:pPr>
              <w:pStyle w:val="Tabletext"/>
              <w:rPr>
                <w:sz w:val="22"/>
                <w:szCs w:val="22"/>
              </w:rPr>
            </w:pPr>
            <w:r w:rsidRPr="00520897">
              <w:rPr>
                <w:color w:val="000000"/>
                <w:sz w:val="22"/>
                <w:szCs w:val="22"/>
              </w:rPr>
              <w:t>Proposed for revision. PDRR considered at October 2016 WP 7B. Target DRR in April 2017 SG 7 (2</w:t>
            </w:r>
            <w:r w:rsidRPr="00520897">
              <w:rPr>
                <w:color w:val="000000"/>
                <w:sz w:val="22"/>
                <w:szCs w:val="22"/>
                <w:vertAlign w:val="superscript"/>
              </w:rPr>
              <w:t>nd</w:t>
            </w:r>
            <w:r w:rsidRPr="00520897">
              <w:rPr>
                <w:color w:val="000000"/>
                <w:sz w:val="22"/>
                <w:szCs w:val="22"/>
              </w:rPr>
              <w:t xml:space="preserve"> session)</w:t>
            </w:r>
            <w:r w:rsidRPr="00520897">
              <w:rPr>
                <w:sz w:val="22"/>
                <w:szCs w:val="22"/>
              </w:rPr>
              <w:t xml:space="preserve"> </w:t>
            </w:r>
          </w:p>
        </w:tc>
      </w:tr>
      <w:tr w:rsidR="002B3CAD" w:rsidRPr="00520897" w:rsidTr="002B3CAD">
        <w:trPr>
          <w:jc w:val="center"/>
        </w:trPr>
        <w:tc>
          <w:tcPr>
            <w:tcW w:w="11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B3CAD" w:rsidRPr="00520897" w:rsidRDefault="009D6DED" w:rsidP="0010422F">
            <w:pPr>
              <w:pStyle w:val="Tabletext"/>
              <w:jc w:val="center"/>
              <w:rPr>
                <w:sz w:val="22"/>
                <w:szCs w:val="22"/>
              </w:rPr>
            </w:pPr>
            <w:hyperlink r:id="rId22" w:history="1">
              <w:r w:rsidR="002B3CAD" w:rsidRPr="00520897">
                <w:rPr>
                  <w:rStyle w:val="Hyperlink"/>
                  <w:sz w:val="22"/>
                  <w:szCs w:val="22"/>
                </w:rPr>
                <w:t>SA.1162-2</w:t>
              </w:r>
            </w:hyperlink>
            <w:r w:rsidR="002B3CAD" w:rsidRPr="00520897">
              <w:rPr>
                <w:sz w:val="22"/>
                <w:szCs w:val="22"/>
              </w:rPr>
              <w:br/>
              <w:t>(2003)</w:t>
            </w:r>
          </w:p>
        </w:tc>
        <w:tc>
          <w:tcPr>
            <w:tcW w:w="4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CAD" w:rsidRPr="00520897" w:rsidRDefault="002B3CAD" w:rsidP="0010422F">
            <w:pPr>
              <w:pStyle w:val="Tabletext"/>
              <w:rPr>
                <w:sz w:val="22"/>
                <w:szCs w:val="22"/>
              </w:rPr>
            </w:pPr>
            <w:r w:rsidRPr="00520897">
              <w:rPr>
                <w:color w:val="000000"/>
                <w:sz w:val="22"/>
                <w:szCs w:val="22"/>
              </w:rPr>
              <w:t xml:space="preserve">Performance criteria for service links in data collection and platform location systems in the Earth exploration- and meteorological-satellite services </w:t>
            </w:r>
          </w:p>
        </w:tc>
        <w:tc>
          <w:tcPr>
            <w:tcW w:w="2962" w:type="dxa"/>
            <w:tcBorders>
              <w:top w:val="single" w:sz="4" w:space="0" w:color="000000"/>
              <w:left w:val="single" w:sz="4" w:space="0" w:color="000000"/>
              <w:bottom w:val="single" w:sz="4" w:space="0" w:color="000000"/>
              <w:right w:val="single" w:sz="4" w:space="0" w:color="000000"/>
            </w:tcBorders>
          </w:tcPr>
          <w:p w:rsidR="002B3CAD" w:rsidRPr="00520897" w:rsidRDefault="002B3CAD" w:rsidP="0010422F">
            <w:pPr>
              <w:pStyle w:val="Tabletext"/>
              <w:rPr>
                <w:sz w:val="22"/>
                <w:szCs w:val="22"/>
              </w:rPr>
            </w:pPr>
            <w:r w:rsidRPr="00520897">
              <w:rPr>
                <w:color w:val="000000"/>
                <w:sz w:val="22"/>
                <w:szCs w:val="22"/>
              </w:rPr>
              <w:t>Proposed for suppression in April 2017 SG 7 (2</w:t>
            </w:r>
            <w:r w:rsidRPr="00520897">
              <w:rPr>
                <w:color w:val="000000"/>
                <w:sz w:val="22"/>
                <w:szCs w:val="22"/>
                <w:vertAlign w:val="superscript"/>
              </w:rPr>
              <w:t>nd</w:t>
            </w:r>
            <w:r w:rsidRPr="00520897">
              <w:rPr>
                <w:color w:val="000000"/>
                <w:sz w:val="22"/>
                <w:szCs w:val="22"/>
              </w:rPr>
              <w:t xml:space="preserve"> session) in conjunction with approval of revised SA.1159.</w:t>
            </w:r>
          </w:p>
        </w:tc>
      </w:tr>
      <w:tr w:rsidR="002B3CAD" w:rsidRPr="00520897" w:rsidTr="00520897">
        <w:trPr>
          <w:cantSplit/>
          <w:jc w:val="center"/>
        </w:trPr>
        <w:tc>
          <w:tcPr>
            <w:tcW w:w="11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B3CAD" w:rsidRPr="00520897" w:rsidRDefault="009D6DED" w:rsidP="0010422F">
            <w:pPr>
              <w:pStyle w:val="Tabletext"/>
              <w:jc w:val="center"/>
              <w:rPr>
                <w:sz w:val="22"/>
                <w:szCs w:val="22"/>
              </w:rPr>
            </w:pPr>
            <w:hyperlink r:id="rId23" w:history="1">
              <w:r w:rsidR="002B3CAD" w:rsidRPr="00520897">
                <w:rPr>
                  <w:rStyle w:val="Hyperlink"/>
                  <w:sz w:val="22"/>
                  <w:szCs w:val="22"/>
                </w:rPr>
                <w:t>SA.1163-2</w:t>
              </w:r>
            </w:hyperlink>
            <w:r w:rsidR="002B3CAD" w:rsidRPr="00520897">
              <w:rPr>
                <w:sz w:val="22"/>
                <w:szCs w:val="22"/>
              </w:rPr>
              <w:br/>
              <w:t>(1999)</w:t>
            </w:r>
          </w:p>
        </w:tc>
        <w:tc>
          <w:tcPr>
            <w:tcW w:w="4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CAD" w:rsidRPr="00520897" w:rsidRDefault="002B3CAD" w:rsidP="0010422F">
            <w:pPr>
              <w:pStyle w:val="Tabletext"/>
              <w:rPr>
                <w:sz w:val="22"/>
                <w:szCs w:val="22"/>
              </w:rPr>
            </w:pPr>
            <w:r w:rsidRPr="00520897">
              <w:rPr>
                <w:sz w:val="22"/>
                <w:szCs w:val="22"/>
              </w:rPr>
              <w:t>Interference criteria for service links in data collection systems in the Earth exploration</w:t>
            </w:r>
            <w:r w:rsidRPr="00520897">
              <w:rPr>
                <w:sz w:val="22"/>
                <w:szCs w:val="22"/>
              </w:rPr>
              <w:noBreakHyphen/>
              <w:t>satellite and meteorological-satellite services</w:t>
            </w:r>
          </w:p>
        </w:tc>
        <w:tc>
          <w:tcPr>
            <w:tcW w:w="2962" w:type="dxa"/>
            <w:tcBorders>
              <w:top w:val="single" w:sz="4" w:space="0" w:color="000000"/>
              <w:left w:val="single" w:sz="4" w:space="0" w:color="000000"/>
              <w:bottom w:val="single" w:sz="4" w:space="0" w:color="000000"/>
              <w:right w:val="single" w:sz="4" w:space="0" w:color="000000"/>
            </w:tcBorders>
          </w:tcPr>
          <w:p w:rsidR="002B3CAD" w:rsidRPr="00520897" w:rsidRDefault="002B3CAD" w:rsidP="0010422F">
            <w:pPr>
              <w:pStyle w:val="Tabletext"/>
              <w:rPr>
                <w:sz w:val="22"/>
                <w:szCs w:val="22"/>
              </w:rPr>
            </w:pPr>
            <w:r w:rsidRPr="00520897">
              <w:rPr>
                <w:color w:val="000000"/>
                <w:sz w:val="22"/>
                <w:szCs w:val="22"/>
              </w:rPr>
              <w:t>Proposed for revision. PDRR considered at October 2016 WP 7B. Target DRR in April 2017 SG 7 (2</w:t>
            </w:r>
            <w:r w:rsidRPr="00520897">
              <w:rPr>
                <w:color w:val="000000"/>
                <w:sz w:val="22"/>
                <w:szCs w:val="22"/>
                <w:vertAlign w:val="superscript"/>
              </w:rPr>
              <w:t>nd</w:t>
            </w:r>
            <w:r w:rsidRPr="00520897">
              <w:rPr>
                <w:color w:val="000000"/>
                <w:sz w:val="22"/>
                <w:szCs w:val="22"/>
              </w:rPr>
              <w:t xml:space="preserve"> session)</w:t>
            </w:r>
            <w:r w:rsidRPr="00520897">
              <w:rPr>
                <w:sz w:val="22"/>
                <w:szCs w:val="22"/>
              </w:rPr>
              <w:t xml:space="preserve"> </w:t>
            </w:r>
          </w:p>
        </w:tc>
      </w:tr>
      <w:tr w:rsidR="002B3CAD" w:rsidRPr="00520897" w:rsidTr="002B3CAD">
        <w:trPr>
          <w:jc w:val="center"/>
        </w:trPr>
        <w:tc>
          <w:tcPr>
            <w:tcW w:w="11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B3CAD" w:rsidRPr="00520897" w:rsidRDefault="009D6DED" w:rsidP="0010422F">
            <w:pPr>
              <w:pStyle w:val="Tabletext"/>
              <w:jc w:val="center"/>
              <w:rPr>
                <w:sz w:val="22"/>
                <w:szCs w:val="22"/>
              </w:rPr>
            </w:pPr>
            <w:hyperlink r:id="rId24" w:history="1">
              <w:r w:rsidR="002B3CAD" w:rsidRPr="00520897">
                <w:rPr>
                  <w:rStyle w:val="Hyperlink"/>
                  <w:sz w:val="22"/>
                  <w:szCs w:val="22"/>
                </w:rPr>
                <w:t>SA.1164-2</w:t>
              </w:r>
            </w:hyperlink>
            <w:r w:rsidR="002B3CAD" w:rsidRPr="00520897">
              <w:rPr>
                <w:sz w:val="22"/>
                <w:szCs w:val="22"/>
              </w:rPr>
              <w:br/>
              <w:t>(1999)</w:t>
            </w:r>
          </w:p>
        </w:tc>
        <w:tc>
          <w:tcPr>
            <w:tcW w:w="4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CAD" w:rsidRPr="00520897" w:rsidRDefault="002B3CAD" w:rsidP="0010422F">
            <w:pPr>
              <w:pStyle w:val="Tabletext"/>
              <w:rPr>
                <w:sz w:val="22"/>
                <w:szCs w:val="22"/>
              </w:rPr>
            </w:pPr>
            <w:r w:rsidRPr="00520897">
              <w:rPr>
                <w:sz w:val="22"/>
                <w:szCs w:val="22"/>
              </w:rPr>
              <w:t>Sharing and coordination criteria for service links in data collection systems in the Earth exploration-satellite and meteorological-satellite services</w:t>
            </w:r>
          </w:p>
        </w:tc>
        <w:tc>
          <w:tcPr>
            <w:tcW w:w="2962" w:type="dxa"/>
            <w:tcBorders>
              <w:top w:val="single" w:sz="4" w:space="0" w:color="000000"/>
              <w:left w:val="single" w:sz="4" w:space="0" w:color="000000"/>
              <w:bottom w:val="single" w:sz="4" w:space="0" w:color="000000"/>
              <w:right w:val="single" w:sz="4" w:space="0" w:color="000000"/>
            </w:tcBorders>
          </w:tcPr>
          <w:p w:rsidR="002B3CAD" w:rsidRPr="00520897" w:rsidRDefault="002B3CAD" w:rsidP="0010422F">
            <w:pPr>
              <w:pStyle w:val="Tabletext"/>
              <w:rPr>
                <w:sz w:val="22"/>
                <w:szCs w:val="22"/>
              </w:rPr>
            </w:pPr>
            <w:r w:rsidRPr="00520897">
              <w:rPr>
                <w:color w:val="000000"/>
                <w:sz w:val="22"/>
                <w:szCs w:val="22"/>
              </w:rPr>
              <w:t>Proposed for revision. PDRR considered at October 2016 WP 7B. Target DRR in April 2017 SG 7 (2</w:t>
            </w:r>
            <w:r w:rsidRPr="00520897">
              <w:rPr>
                <w:color w:val="000000"/>
                <w:sz w:val="22"/>
                <w:szCs w:val="22"/>
                <w:vertAlign w:val="superscript"/>
              </w:rPr>
              <w:t>nd</w:t>
            </w:r>
            <w:r w:rsidRPr="00520897">
              <w:rPr>
                <w:color w:val="000000"/>
                <w:sz w:val="22"/>
                <w:szCs w:val="22"/>
              </w:rPr>
              <w:t xml:space="preserve"> session)</w:t>
            </w:r>
            <w:r w:rsidRPr="00520897">
              <w:rPr>
                <w:sz w:val="22"/>
                <w:szCs w:val="22"/>
              </w:rPr>
              <w:t xml:space="preserve"> </w:t>
            </w:r>
          </w:p>
        </w:tc>
      </w:tr>
      <w:tr w:rsidR="002B3CAD" w:rsidRPr="00520897" w:rsidTr="002B3CAD">
        <w:trPr>
          <w:jc w:val="center"/>
        </w:trPr>
        <w:tc>
          <w:tcPr>
            <w:tcW w:w="11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B3CAD" w:rsidRPr="00520897" w:rsidRDefault="009D6DED" w:rsidP="0010422F">
            <w:pPr>
              <w:pStyle w:val="Tabletext"/>
              <w:jc w:val="center"/>
              <w:rPr>
                <w:sz w:val="22"/>
                <w:szCs w:val="22"/>
              </w:rPr>
            </w:pPr>
            <w:hyperlink r:id="rId25" w:history="1">
              <w:r w:rsidR="002B3CAD" w:rsidRPr="00520897">
                <w:rPr>
                  <w:rStyle w:val="Hyperlink"/>
                  <w:sz w:val="22"/>
                  <w:szCs w:val="22"/>
                </w:rPr>
                <w:t>SA.1627</w:t>
              </w:r>
            </w:hyperlink>
            <w:r w:rsidR="002B3CAD" w:rsidRPr="00520897">
              <w:rPr>
                <w:sz w:val="22"/>
                <w:szCs w:val="22"/>
              </w:rPr>
              <w:br/>
              <w:t>(2003)</w:t>
            </w:r>
          </w:p>
        </w:tc>
        <w:tc>
          <w:tcPr>
            <w:tcW w:w="4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CAD" w:rsidRPr="00520897" w:rsidRDefault="002B3CAD" w:rsidP="0010422F">
            <w:pPr>
              <w:pStyle w:val="Tabletext"/>
              <w:rPr>
                <w:sz w:val="22"/>
                <w:szCs w:val="22"/>
              </w:rPr>
            </w:pPr>
            <w:r w:rsidRPr="00520897">
              <w:rPr>
                <w:sz w:val="22"/>
                <w:szCs w:val="22"/>
              </w:rPr>
              <w:t xml:space="preserve">Telecommunication requirements and characteristics of EESS and </w:t>
            </w:r>
            <w:proofErr w:type="spellStart"/>
            <w:r w:rsidRPr="00520897">
              <w:rPr>
                <w:sz w:val="22"/>
                <w:szCs w:val="22"/>
              </w:rPr>
              <w:t>MetSat</w:t>
            </w:r>
            <w:proofErr w:type="spellEnd"/>
            <w:r w:rsidRPr="00520897">
              <w:rPr>
                <w:sz w:val="22"/>
                <w:szCs w:val="22"/>
              </w:rPr>
              <w:t xml:space="preserve"> service systems for data collection and platform location</w:t>
            </w:r>
          </w:p>
        </w:tc>
        <w:tc>
          <w:tcPr>
            <w:tcW w:w="2962" w:type="dxa"/>
            <w:tcBorders>
              <w:top w:val="single" w:sz="4" w:space="0" w:color="000000"/>
              <w:left w:val="single" w:sz="4" w:space="0" w:color="000000"/>
              <w:bottom w:val="single" w:sz="4" w:space="0" w:color="000000"/>
              <w:right w:val="single" w:sz="4" w:space="0" w:color="000000"/>
            </w:tcBorders>
          </w:tcPr>
          <w:p w:rsidR="002B3CAD" w:rsidRPr="00520897" w:rsidRDefault="002B3CAD" w:rsidP="0010422F">
            <w:pPr>
              <w:pStyle w:val="Tabletext"/>
              <w:rPr>
                <w:sz w:val="22"/>
                <w:szCs w:val="22"/>
              </w:rPr>
            </w:pPr>
            <w:r w:rsidRPr="00520897">
              <w:rPr>
                <w:sz w:val="22"/>
                <w:szCs w:val="22"/>
              </w:rPr>
              <w:t>TBD</w:t>
            </w:r>
          </w:p>
        </w:tc>
      </w:tr>
    </w:tbl>
    <w:p w:rsidR="007147DA" w:rsidRPr="00520897" w:rsidRDefault="007147DA" w:rsidP="007147DA">
      <w:pPr>
        <w:pStyle w:val="Headingb"/>
        <w:rPr>
          <w:rFonts w:ascii="Times New Roman" w:hAnsi="Times New Roman" w:cs="Times New Roman"/>
          <w:sz w:val="22"/>
          <w:szCs w:val="22"/>
          <w:lang w:val="en-GB"/>
        </w:rPr>
      </w:pPr>
    </w:p>
    <w:p w:rsidR="007147DA" w:rsidRPr="00520897" w:rsidRDefault="007147DA" w:rsidP="007147DA">
      <w:pPr>
        <w:pStyle w:val="Headingb"/>
        <w:rPr>
          <w:rFonts w:ascii="Times New Roman" w:eastAsia="Calibri" w:hAnsi="Times New Roman" w:cs="Times New Roman"/>
          <w:bCs/>
          <w:sz w:val="22"/>
          <w:szCs w:val="22"/>
          <w:u w:val="single"/>
          <w:lang w:val="en-US"/>
        </w:rPr>
      </w:pPr>
      <w:r w:rsidRPr="00520897">
        <w:rPr>
          <w:rFonts w:ascii="Times New Roman" w:eastAsia="Calibri" w:hAnsi="Times New Roman" w:cs="Times New Roman"/>
          <w:bCs/>
          <w:sz w:val="22"/>
          <w:szCs w:val="22"/>
          <w:u w:val="single"/>
          <w:lang w:val="en-US"/>
        </w:rPr>
        <w:t>3</w:t>
      </w:r>
      <w:r w:rsidRPr="00520897">
        <w:rPr>
          <w:rFonts w:ascii="Times New Roman" w:eastAsia="Calibri" w:hAnsi="Times New Roman" w:cs="Times New Roman"/>
          <w:bCs/>
          <w:sz w:val="22"/>
          <w:szCs w:val="22"/>
          <w:u w:val="single"/>
          <w:lang w:val="en-US"/>
        </w:rPr>
        <w:tab/>
        <w:t>Preliminary draft new Report ITU-R SA.[EESS-METSAT CHAR]</w:t>
      </w:r>
    </w:p>
    <w:p w:rsidR="007147DA" w:rsidRPr="00520897" w:rsidRDefault="007147DA" w:rsidP="007147DA">
      <w:pPr>
        <w:rPr>
          <w:sz w:val="22"/>
          <w:szCs w:val="22"/>
        </w:rPr>
      </w:pPr>
      <w:r w:rsidRPr="00520897">
        <w:rPr>
          <w:sz w:val="22"/>
          <w:szCs w:val="22"/>
        </w:rPr>
        <w:t xml:space="preserve">WP 7B is still working on the </w:t>
      </w:r>
      <w:r w:rsidRPr="00520897">
        <w:rPr>
          <w:sz w:val="22"/>
          <w:szCs w:val="22"/>
          <w:lang w:eastAsia="zh-CN"/>
        </w:rPr>
        <w:t>working document toward a preliminary draft new Report on “</w:t>
      </w:r>
      <w:r w:rsidRPr="00520897">
        <w:rPr>
          <w:i/>
          <w:sz w:val="22"/>
          <w:szCs w:val="22"/>
        </w:rPr>
        <w:t>Characteristics to be used for assessing interference to systems operating in the earth exploration-satellite and meteorological-satellite services, and for conducting sharing studies</w:t>
      </w:r>
      <w:r w:rsidRPr="00520897">
        <w:rPr>
          <w:sz w:val="22"/>
          <w:szCs w:val="22"/>
        </w:rPr>
        <w:t>”.</w:t>
      </w:r>
    </w:p>
    <w:p w:rsidR="007147DA" w:rsidRPr="00520897" w:rsidRDefault="007147DA" w:rsidP="007147DA">
      <w:pPr>
        <w:rPr>
          <w:sz w:val="22"/>
          <w:szCs w:val="22"/>
          <w:lang w:eastAsia="zh-CN"/>
        </w:rPr>
      </w:pPr>
      <w:r w:rsidRPr="00520897">
        <w:rPr>
          <w:sz w:val="22"/>
          <w:szCs w:val="22"/>
        </w:rPr>
        <w:t xml:space="preserve">The biggest challenge of this task is to present the “right” set of reference system for each frequency band, which is of particular difficulty in bands with a large number of different systems, like in the band 8025 – 8400 </w:t>
      </w:r>
      <w:proofErr w:type="spellStart"/>
      <w:r w:rsidRPr="00520897">
        <w:rPr>
          <w:sz w:val="22"/>
          <w:szCs w:val="22"/>
        </w:rPr>
        <w:t>MHz.</w:t>
      </w:r>
      <w:proofErr w:type="spellEnd"/>
    </w:p>
    <w:p w:rsidR="00ED6AEF" w:rsidRPr="00520897" w:rsidRDefault="00ED6AEF" w:rsidP="00ED6AEF">
      <w:pPr>
        <w:pStyle w:val="Headingb"/>
        <w:rPr>
          <w:rFonts w:ascii="Times New Roman" w:eastAsia="Calibri" w:hAnsi="Times New Roman" w:cs="Times New Roman"/>
          <w:bCs/>
          <w:sz w:val="22"/>
          <w:szCs w:val="22"/>
          <w:u w:val="single"/>
          <w:lang w:val="en-US"/>
        </w:rPr>
      </w:pPr>
      <w:r w:rsidRPr="00520897">
        <w:rPr>
          <w:rFonts w:ascii="Times New Roman" w:eastAsia="Calibri" w:hAnsi="Times New Roman" w:cs="Times New Roman"/>
          <w:bCs/>
          <w:sz w:val="22"/>
          <w:szCs w:val="22"/>
          <w:u w:val="single"/>
          <w:lang w:val="en-US"/>
        </w:rPr>
        <w:t>4</w:t>
      </w:r>
      <w:r w:rsidRPr="00520897">
        <w:rPr>
          <w:rFonts w:ascii="Times New Roman" w:eastAsia="Calibri" w:hAnsi="Times New Roman" w:cs="Times New Roman"/>
          <w:bCs/>
          <w:sz w:val="22"/>
          <w:szCs w:val="22"/>
          <w:u w:val="single"/>
          <w:lang w:val="en-US"/>
        </w:rPr>
        <w:tab/>
        <w:t>WRC-19 Agenda Item in relation to frequency bands used by DCS systems (AI 1.2, 1.3 and 1.7)</w:t>
      </w:r>
    </w:p>
    <w:p w:rsidR="00ED6AEF" w:rsidRPr="00520897" w:rsidRDefault="00ED6AEF" w:rsidP="00ED6AEF">
      <w:pPr>
        <w:pStyle w:val="Headingb"/>
        <w:rPr>
          <w:rFonts w:ascii="Times New Roman" w:eastAsia="Calibri" w:hAnsi="Times New Roman" w:cs="Times New Roman"/>
          <w:bCs/>
          <w:sz w:val="22"/>
          <w:szCs w:val="22"/>
          <w:u w:val="single"/>
          <w:lang w:val="en-US"/>
        </w:rPr>
      </w:pPr>
      <w:r w:rsidRPr="00520897">
        <w:rPr>
          <w:rFonts w:ascii="Times New Roman" w:eastAsia="Calibri" w:hAnsi="Times New Roman" w:cs="Times New Roman"/>
          <w:bCs/>
          <w:sz w:val="22"/>
          <w:szCs w:val="22"/>
          <w:u w:val="single"/>
          <w:lang w:val="en-US"/>
        </w:rPr>
        <w:t>4.1</w:t>
      </w:r>
      <w:r w:rsidRPr="00520897">
        <w:rPr>
          <w:rFonts w:ascii="Times New Roman" w:eastAsia="Calibri" w:hAnsi="Times New Roman" w:cs="Times New Roman"/>
          <w:bCs/>
          <w:sz w:val="22"/>
          <w:szCs w:val="22"/>
          <w:u w:val="single"/>
          <w:lang w:val="en-US"/>
        </w:rPr>
        <w:tab/>
        <w:t xml:space="preserve">WRC-19 Agenda Item 1.2 (in-band power limits in the frequency bands 401-403 MHz and 399.9-400.05 MHz </w:t>
      </w:r>
    </w:p>
    <w:p w:rsidR="00ED6AEF" w:rsidRPr="00520897" w:rsidRDefault="00ED6AEF" w:rsidP="00ED6AEF">
      <w:pPr>
        <w:rPr>
          <w:sz w:val="22"/>
          <w:szCs w:val="22"/>
        </w:rPr>
      </w:pPr>
      <w:r w:rsidRPr="00520897">
        <w:rPr>
          <w:sz w:val="22"/>
          <w:szCs w:val="22"/>
        </w:rPr>
        <w:t>WP 7B continued its work on Report ITU-R SA.[400 MHz-LIMITS] at its last meeting in October 2016 introducing additional technical elements related to EESS, METSAT and MSS in the bands 399.9-400.05 MHz and 401-403 MHz and established a first version of the draft CPM text on WRC-19 agenda item 1.2. This first version currently only considers the Executive summary and the background section.</w:t>
      </w:r>
    </w:p>
    <w:p w:rsidR="003745CC" w:rsidRPr="00520897" w:rsidRDefault="00ED6AEF" w:rsidP="00ED6AEF">
      <w:pPr>
        <w:rPr>
          <w:sz w:val="22"/>
          <w:szCs w:val="22"/>
        </w:rPr>
      </w:pPr>
      <w:r w:rsidRPr="00520897">
        <w:rPr>
          <w:sz w:val="22"/>
          <w:szCs w:val="22"/>
        </w:rPr>
        <w:t xml:space="preserve">The task on this agenda item will be to find the right balance with (a) power limit(s) </w:t>
      </w:r>
      <w:r w:rsidR="00767F46" w:rsidRPr="00520897">
        <w:rPr>
          <w:sz w:val="22"/>
          <w:szCs w:val="22"/>
        </w:rPr>
        <w:t xml:space="preserve">that provide the necessary protection of DCS systems from other (non-DCS) systems, i.e. short duration </w:t>
      </w:r>
      <w:r w:rsidR="003168D3" w:rsidRPr="00520897">
        <w:rPr>
          <w:sz w:val="22"/>
          <w:szCs w:val="22"/>
        </w:rPr>
        <w:t>missions</w:t>
      </w:r>
      <w:r w:rsidR="00767F46" w:rsidRPr="00520897">
        <w:rPr>
          <w:sz w:val="22"/>
          <w:szCs w:val="22"/>
        </w:rPr>
        <w:t>, without hindering the operation of other DCS systems. Considering the different power levels of GSO and non-GSO DCS systems the question will have to be answered whether different limits for different DCS systems (GSO or non-GSO) even in different sub-bands should be envisaged.</w:t>
      </w:r>
      <w:r w:rsidR="00046FF4" w:rsidRPr="00520897">
        <w:rPr>
          <w:sz w:val="22"/>
          <w:szCs w:val="22"/>
        </w:rPr>
        <w:t xml:space="preserve"> </w:t>
      </w:r>
    </w:p>
    <w:p w:rsidR="00767F46" w:rsidRPr="00520897" w:rsidRDefault="00046FF4" w:rsidP="00ED6AEF">
      <w:pPr>
        <w:rPr>
          <w:sz w:val="22"/>
          <w:szCs w:val="22"/>
        </w:rPr>
      </w:pPr>
      <w:r w:rsidRPr="00520897">
        <w:rPr>
          <w:sz w:val="22"/>
          <w:szCs w:val="22"/>
        </w:rPr>
        <w:t xml:space="preserve">Furthermore, as the Agenda item 1.7 </w:t>
      </w:r>
      <w:r w:rsidR="003745CC" w:rsidRPr="00520897">
        <w:rPr>
          <w:sz w:val="22"/>
          <w:szCs w:val="22"/>
        </w:rPr>
        <w:t xml:space="preserve">explicitly </w:t>
      </w:r>
      <w:r w:rsidRPr="00520897">
        <w:rPr>
          <w:sz w:val="22"/>
          <w:szCs w:val="22"/>
        </w:rPr>
        <w:t>call</w:t>
      </w:r>
      <w:r w:rsidR="003745CC" w:rsidRPr="00520897">
        <w:rPr>
          <w:sz w:val="22"/>
          <w:szCs w:val="22"/>
        </w:rPr>
        <w:t>s only</w:t>
      </w:r>
      <w:r w:rsidRPr="00520897">
        <w:rPr>
          <w:sz w:val="22"/>
          <w:szCs w:val="22"/>
        </w:rPr>
        <w:t xml:space="preserve"> for </w:t>
      </w:r>
      <w:r w:rsidR="003745CC" w:rsidRPr="00520897">
        <w:rPr>
          <w:bCs/>
          <w:sz w:val="22"/>
          <w:szCs w:val="22"/>
          <w:lang w:eastAsia="zh-CN"/>
        </w:rPr>
        <w:t>studies to accommodate requirements in the space operation service for non-geostationary satellites with short duration missions, the question also is if only a limit for non-GSO DCS should be established.</w:t>
      </w:r>
    </w:p>
    <w:p w:rsidR="003168D3" w:rsidRPr="00520897" w:rsidRDefault="003168D3" w:rsidP="00ED6AEF">
      <w:pPr>
        <w:rPr>
          <w:sz w:val="22"/>
          <w:szCs w:val="22"/>
        </w:rPr>
      </w:pPr>
      <w:r w:rsidRPr="00520897">
        <w:rPr>
          <w:b/>
          <w:sz w:val="22"/>
          <w:szCs w:val="22"/>
          <w:u w:val="single"/>
        </w:rPr>
        <w:t>Action:</w:t>
      </w:r>
      <w:r w:rsidRPr="00520897">
        <w:rPr>
          <w:sz w:val="22"/>
          <w:szCs w:val="22"/>
        </w:rPr>
        <w:t xml:space="preserve"> </w:t>
      </w:r>
      <w:r w:rsidR="00767F46" w:rsidRPr="00520897">
        <w:rPr>
          <w:sz w:val="22"/>
          <w:szCs w:val="22"/>
        </w:rPr>
        <w:t xml:space="preserve">WMO SG-RFC might want to </w:t>
      </w:r>
      <w:r w:rsidR="003745CC" w:rsidRPr="00520897">
        <w:rPr>
          <w:sz w:val="22"/>
          <w:szCs w:val="22"/>
        </w:rPr>
        <w:t>discuss the</w:t>
      </w:r>
      <w:r w:rsidR="00767F46" w:rsidRPr="00520897">
        <w:rPr>
          <w:sz w:val="22"/>
          <w:szCs w:val="22"/>
        </w:rPr>
        <w:t xml:space="preserve"> question</w:t>
      </w:r>
      <w:r w:rsidR="003745CC" w:rsidRPr="00520897">
        <w:rPr>
          <w:sz w:val="22"/>
          <w:szCs w:val="22"/>
        </w:rPr>
        <w:t>s</w:t>
      </w:r>
      <w:r w:rsidR="00767F46" w:rsidRPr="00520897">
        <w:rPr>
          <w:sz w:val="22"/>
          <w:szCs w:val="22"/>
        </w:rPr>
        <w:t xml:space="preserve"> </w:t>
      </w:r>
      <w:r w:rsidR="003745CC" w:rsidRPr="00520897">
        <w:rPr>
          <w:sz w:val="22"/>
          <w:szCs w:val="22"/>
        </w:rPr>
        <w:t xml:space="preserve">raised above </w:t>
      </w:r>
      <w:r w:rsidR="00767F46" w:rsidRPr="00520897">
        <w:rPr>
          <w:sz w:val="22"/>
          <w:szCs w:val="22"/>
        </w:rPr>
        <w:t xml:space="preserve">and to develop an opinion on the possible ways to </w:t>
      </w:r>
      <w:r w:rsidR="003745CC" w:rsidRPr="00520897">
        <w:rPr>
          <w:sz w:val="22"/>
          <w:szCs w:val="22"/>
        </w:rPr>
        <w:t>resolve this agenda item</w:t>
      </w:r>
      <w:r w:rsidR="00767F46" w:rsidRPr="00520897">
        <w:rPr>
          <w:sz w:val="22"/>
          <w:szCs w:val="22"/>
        </w:rPr>
        <w:t xml:space="preserve">.  </w:t>
      </w:r>
    </w:p>
    <w:p w:rsidR="005D6572" w:rsidRPr="00520897" w:rsidRDefault="003168D3" w:rsidP="003168D3">
      <w:pPr>
        <w:pStyle w:val="Headingb"/>
        <w:rPr>
          <w:rFonts w:ascii="Times New Roman" w:eastAsia="Calibri" w:hAnsi="Times New Roman" w:cs="Times New Roman"/>
          <w:bCs/>
          <w:sz w:val="22"/>
          <w:szCs w:val="22"/>
          <w:u w:val="single"/>
          <w:lang w:val="en-US"/>
        </w:rPr>
      </w:pPr>
      <w:r w:rsidRPr="00520897">
        <w:rPr>
          <w:rFonts w:ascii="Times New Roman" w:eastAsia="Calibri" w:hAnsi="Times New Roman" w:cs="Times New Roman"/>
          <w:bCs/>
          <w:sz w:val="22"/>
          <w:szCs w:val="22"/>
          <w:u w:val="single"/>
          <w:lang w:val="en-US"/>
        </w:rPr>
        <w:t>4.</w:t>
      </w:r>
      <w:r w:rsidR="00C33900" w:rsidRPr="00520897">
        <w:rPr>
          <w:rFonts w:ascii="Times New Roman" w:eastAsia="Calibri" w:hAnsi="Times New Roman" w:cs="Times New Roman"/>
          <w:bCs/>
          <w:sz w:val="22"/>
          <w:szCs w:val="22"/>
          <w:u w:val="single"/>
          <w:lang w:val="en-US"/>
        </w:rPr>
        <w:t>2</w:t>
      </w:r>
      <w:r w:rsidR="00A530FD" w:rsidRPr="00520897">
        <w:rPr>
          <w:rFonts w:ascii="Times New Roman" w:eastAsia="Calibri" w:hAnsi="Times New Roman" w:cs="Times New Roman"/>
          <w:bCs/>
          <w:sz w:val="22"/>
          <w:szCs w:val="22"/>
          <w:u w:val="single"/>
          <w:lang w:val="en-US"/>
        </w:rPr>
        <w:t xml:space="preserve">. </w:t>
      </w:r>
      <w:r w:rsidRPr="00520897">
        <w:rPr>
          <w:rFonts w:ascii="Times New Roman" w:eastAsia="Calibri" w:hAnsi="Times New Roman" w:cs="Times New Roman"/>
          <w:bCs/>
          <w:sz w:val="22"/>
          <w:szCs w:val="22"/>
          <w:u w:val="single"/>
          <w:lang w:val="en-US"/>
        </w:rPr>
        <w:tab/>
        <w:t xml:space="preserve">WRC-19 Agenda Item 1.3 (Upgrade of </w:t>
      </w:r>
      <w:proofErr w:type="spellStart"/>
      <w:r w:rsidRPr="00520897">
        <w:rPr>
          <w:rFonts w:ascii="Times New Roman" w:eastAsia="Calibri" w:hAnsi="Times New Roman" w:cs="Times New Roman"/>
          <w:bCs/>
          <w:sz w:val="22"/>
          <w:szCs w:val="22"/>
          <w:u w:val="single"/>
          <w:lang w:val="en-US"/>
        </w:rPr>
        <w:t>MetSat</w:t>
      </w:r>
      <w:proofErr w:type="spellEnd"/>
      <w:r w:rsidRPr="00520897">
        <w:rPr>
          <w:rFonts w:ascii="Times New Roman" w:eastAsia="Calibri" w:hAnsi="Times New Roman" w:cs="Times New Roman"/>
          <w:bCs/>
          <w:sz w:val="22"/>
          <w:szCs w:val="22"/>
          <w:u w:val="single"/>
          <w:lang w:val="en-US"/>
        </w:rPr>
        <w:t xml:space="preserve"> and EESS allocation in the band 460 – 470 MHz)</w:t>
      </w:r>
    </w:p>
    <w:p w:rsidR="003168D3" w:rsidRPr="00520897" w:rsidRDefault="003168D3" w:rsidP="003168D3">
      <w:pPr>
        <w:rPr>
          <w:sz w:val="22"/>
          <w:szCs w:val="22"/>
        </w:rPr>
      </w:pPr>
      <w:r w:rsidRPr="00520897">
        <w:rPr>
          <w:sz w:val="22"/>
          <w:szCs w:val="22"/>
        </w:rPr>
        <w:t xml:space="preserve">WP 7B continued its work on Report ITU-R SA.[460 MHZ METSAT-EESS] at its last meeting in October 2016 introducing additional technical elements related to EESS and METSAT as well as other incumbent </w:t>
      </w:r>
      <w:r w:rsidRPr="00520897">
        <w:rPr>
          <w:sz w:val="22"/>
          <w:szCs w:val="22"/>
        </w:rPr>
        <w:lastRenderedPageBreak/>
        <w:t xml:space="preserve">services in the band 460-470 MHz and also </w:t>
      </w:r>
      <w:r w:rsidRPr="00520897">
        <w:rPr>
          <w:sz w:val="22"/>
          <w:szCs w:val="22"/>
          <w:lang w:eastAsia="zh-CN"/>
        </w:rPr>
        <w:t>established</w:t>
      </w:r>
      <w:r w:rsidRPr="00520897">
        <w:rPr>
          <w:sz w:val="22"/>
          <w:szCs w:val="22"/>
        </w:rPr>
        <w:t xml:space="preserve"> a first version of the draft CPM text on WRC-19 agenda item 1.3. This first version currently only considers the Executive summary section.</w:t>
      </w:r>
    </w:p>
    <w:p w:rsidR="003168D3" w:rsidRPr="00520897" w:rsidRDefault="003168D3" w:rsidP="003168D3">
      <w:pPr>
        <w:pStyle w:val="Headingb"/>
        <w:rPr>
          <w:rFonts w:ascii="Times New Roman" w:eastAsia="Calibri" w:hAnsi="Times New Roman" w:cs="Times New Roman"/>
          <w:bCs/>
          <w:sz w:val="22"/>
          <w:szCs w:val="22"/>
          <w:u w:val="single"/>
          <w:lang w:val="en-US"/>
        </w:rPr>
      </w:pPr>
      <w:r w:rsidRPr="00520897">
        <w:rPr>
          <w:rFonts w:ascii="Times New Roman" w:eastAsia="Calibri" w:hAnsi="Times New Roman" w:cs="Times New Roman"/>
          <w:bCs/>
          <w:sz w:val="22"/>
          <w:szCs w:val="22"/>
          <w:u w:val="single"/>
          <w:lang w:val="en-US"/>
        </w:rPr>
        <w:t xml:space="preserve">4.3. </w:t>
      </w:r>
      <w:r w:rsidRPr="00520897">
        <w:rPr>
          <w:rFonts w:ascii="Times New Roman" w:eastAsia="Calibri" w:hAnsi="Times New Roman" w:cs="Times New Roman"/>
          <w:bCs/>
          <w:sz w:val="22"/>
          <w:szCs w:val="22"/>
          <w:u w:val="single"/>
          <w:lang w:val="en-US"/>
        </w:rPr>
        <w:tab/>
        <w:t>WRC-19 Agenda Item 1.7 (Short duration missions)</w:t>
      </w:r>
    </w:p>
    <w:p w:rsidR="00046FF4" w:rsidRPr="00520897" w:rsidRDefault="00046FF4" w:rsidP="00046FF4">
      <w:pPr>
        <w:rPr>
          <w:sz w:val="22"/>
          <w:szCs w:val="22"/>
          <w:lang w:eastAsia="zh-CN"/>
        </w:rPr>
      </w:pPr>
      <w:r w:rsidRPr="00520897">
        <w:rPr>
          <w:sz w:val="22"/>
          <w:szCs w:val="22"/>
          <w:lang w:eastAsia="zh-CN"/>
        </w:rPr>
        <w:t>Resolution 659 (WRC-15) under this Agenda Item calls for</w:t>
      </w:r>
      <w:r w:rsidRPr="00520897">
        <w:rPr>
          <w:bCs/>
          <w:sz w:val="22"/>
          <w:szCs w:val="22"/>
          <w:lang w:eastAsia="zh-CN"/>
        </w:rPr>
        <w:t>: “Studies to accommodate requirements in the space operation service for non-geostationary satellites with short duration missions”, and it</w:t>
      </w:r>
      <w:r w:rsidRPr="00520897">
        <w:rPr>
          <w:sz w:val="22"/>
          <w:szCs w:val="22"/>
          <w:lang w:eastAsia="zh-CN"/>
        </w:rPr>
        <w:t xml:space="preserve"> </w:t>
      </w:r>
      <w:r w:rsidRPr="00520897">
        <w:rPr>
          <w:i/>
          <w:iCs/>
          <w:sz w:val="22"/>
          <w:szCs w:val="22"/>
          <w:lang w:eastAsia="zh-CN"/>
        </w:rPr>
        <w:t>invites ITU-R</w:t>
      </w:r>
      <w:r w:rsidRPr="00520897">
        <w:rPr>
          <w:sz w:val="22"/>
          <w:szCs w:val="22"/>
          <w:lang w:eastAsia="zh-CN"/>
        </w:rPr>
        <w:t>:</w:t>
      </w:r>
    </w:p>
    <w:p w:rsidR="00046FF4" w:rsidRPr="00520897" w:rsidRDefault="00046FF4" w:rsidP="00046FF4">
      <w:pPr>
        <w:pStyle w:val="enumlev1"/>
        <w:rPr>
          <w:sz w:val="22"/>
          <w:szCs w:val="22"/>
          <w:lang w:eastAsia="zh-CN"/>
        </w:rPr>
      </w:pPr>
      <w:r w:rsidRPr="00520897">
        <w:rPr>
          <w:sz w:val="22"/>
          <w:szCs w:val="22"/>
          <w:lang w:eastAsia="zh-CN"/>
        </w:rPr>
        <w:tab/>
        <w:t>1</w:t>
      </w:r>
      <w:r w:rsidRPr="00520897">
        <w:rPr>
          <w:sz w:val="22"/>
          <w:szCs w:val="22"/>
          <w:lang w:eastAsia="zh-CN"/>
        </w:rPr>
        <w:tab/>
        <w:t xml:space="preserve">to study the spectrum requirements for telemetry, tracking and command in the space operation service for the growing number of non-GSO satellites with short duration missions, taking into account RR No. </w:t>
      </w:r>
      <w:r w:rsidRPr="00520897">
        <w:rPr>
          <w:b/>
          <w:sz w:val="22"/>
          <w:szCs w:val="22"/>
          <w:lang w:eastAsia="zh-CN"/>
        </w:rPr>
        <w:t>1.23</w:t>
      </w:r>
      <w:r w:rsidRPr="00520897">
        <w:rPr>
          <w:sz w:val="22"/>
          <w:szCs w:val="22"/>
          <w:lang w:eastAsia="zh-CN"/>
        </w:rPr>
        <w:t>;</w:t>
      </w:r>
    </w:p>
    <w:p w:rsidR="00046FF4" w:rsidRPr="00520897" w:rsidRDefault="00046FF4" w:rsidP="00046FF4">
      <w:pPr>
        <w:pStyle w:val="enumlev1"/>
        <w:rPr>
          <w:sz w:val="22"/>
          <w:szCs w:val="22"/>
          <w:lang w:eastAsia="zh-CN"/>
        </w:rPr>
      </w:pPr>
      <w:r w:rsidRPr="00520897">
        <w:rPr>
          <w:sz w:val="22"/>
          <w:szCs w:val="22"/>
          <w:lang w:eastAsia="zh-CN"/>
        </w:rPr>
        <w:tab/>
        <w:t>2</w:t>
      </w:r>
      <w:r w:rsidRPr="00520897">
        <w:rPr>
          <w:sz w:val="22"/>
          <w:szCs w:val="22"/>
          <w:lang w:eastAsia="zh-CN"/>
        </w:rPr>
        <w:tab/>
        <w:t xml:space="preserve">to assess the suitability of existing allocations to the space operation service in the frequency range below 1 GHz, taking into account </w:t>
      </w:r>
      <w:r w:rsidRPr="00520897">
        <w:rPr>
          <w:i/>
          <w:sz w:val="22"/>
          <w:szCs w:val="22"/>
          <w:lang w:eastAsia="zh-CN"/>
        </w:rPr>
        <w:t>recognizing a)</w:t>
      </w:r>
      <w:r w:rsidRPr="00520897">
        <w:rPr>
          <w:sz w:val="22"/>
          <w:szCs w:val="22"/>
          <w:lang w:eastAsia="zh-CN"/>
        </w:rPr>
        <w:t xml:space="preserve"> and current use;</w:t>
      </w:r>
    </w:p>
    <w:p w:rsidR="00046FF4" w:rsidRPr="00520897" w:rsidRDefault="00046FF4" w:rsidP="00046FF4">
      <w:pPr>
        <w:pStyle w:val="enumlev1"/>
        <w:rPr>
          <w:sz w:val="22"/>
          <w:szCs w:val="22"/>
          <w:lang w:eastAsia="zh-CN"/>
        </w:rPr>
      </w:pPr>
      <w:r w:rsidRPr="00520897">
        <w:rPr>
          <w:sz w:val="22"/>
          <w:szCs w:val="22"/>
          <w:lang w:eastAsia="zh-CN"/>
        </w:rPr>
        <w:tab/>
        <w:t>3</w:t>
      </w:r>
      <w:r w:rsidRPr="00520897">
        <w:rPr>
          <w:sz w:val="22"/>
          <w:szCs w:val="22"/>
          <w:lang w:eastAsia="zh-CN"/>
        </w:rPr>
        <w:tab/>
        <w:t xml:space="preserve">if studies of the current allocations to the space operations service indicate that requirements cannot be met under </w:t>
      </w:r>
      <w:r w:rsidRPr="00520897">
        <w:rPr>
          <w:i/>
          <w:sz w:val="22"/>
          <w:szCs w:val="22"/>
          <w:lang w:eastAsia="zh-CN"/>
        </w:rPr>
        <w:t>invites ITU-R</w:t>
      </w:r>
      <w:r w:rsidRPr="00520897">
        <w:rPr>
          <w:sz w:val="22"/>
          <w:szCs w:val="22"/>
          <w:lang w:eastAsia="zh-CN"/>
        </w:rPr>
        <w:t xml:space="preserve"> 1 and 2, to conduct sharing and compatibility studies, and study mitigation techniques to protect the incumbent services, both in-band as well as in adjacent bands, in order to consider possible new allocations or an upgrade of the existing allocations to the space operation service within the frequency ranges 150.05-174 MHz and 400.15</w:t>
      </w:r>
      <w:r w:rsidRPr="00520897">
        <w:rPr>
          <w:sz w:val="22"/>
          <w:szCs w:val="22"/>
          <w:lang w:eastAsia="zh-CN"/>
        </w:rPr>
        <w:noBreakHyphen/>
        <w:t xml:space="preserve">420 </w:t>
      </w:r>
      <w:proofErr w:type="spellStart"/>
      <w:r w:rsidRPr="00520897">
        <w:rPr>
          <w:sz w:val="22"/>
          <w:szCs w:val="22"/>
          <w:lang w:eastAsia="zh-CN"/>
        </w:rPr>
        <w:t>MHz.</w:t>
      </w:r>
      <w:proofErr w:type="spellEnd"/>
    </w:p>
    <w:p w:rsidR="00C33900" w:rsidRPr="00520897" w:rsidRDefault="00046FF4" w:rsidP="00A530FD">
      <w:pPr>
        <w:rPr>
          <w:bCs/>
          <w:sz w:val="22"/>
          <w:szCs w:val="22"/>
        </w:rPr>
      </w:pPr>
      <w:r w:rsidRPr="00520897">
        <w:rPr>
          <w:bCs/>
          <w:sz w:val="22"/>
          <w:szCs w:val="22"/>
        </w:rPr>
        <w:t>T</w:t>
      </w:r>
      <w:r w:rsidR="003168D3" w:rsidRPr="00520897">
        <w:rPr>
          <w:bCs/>
          <w:sz w:val="22"/>
          <w:szCs w:val="22"/>
        </w:rPr>
        <w:t xml:space="preserve">he band 400.15 – 403 MHz is one of the target bands </w:t>
      </w:r>
      <w:r w:rsidRPr="00520897">
        <w:rPr>
          <w:bCs/>
          <w:sz w:val="22"/>
          <w:szCs w:val="22"/>
        </w:rPr>
        <w:t xml:space="preserve">under this agenda item. As there are only two </w:t>
      </w:r>
      <w:r w:rsidR="003168D3" w:rsidRPr="00520897">
        <w:rPr>
          <w:bCs/>
          <w:sz w:val="22"/>
          <w:szCs w:val="22"/>
        </w:rPr>
        <w:t>frequency ranges</w:t>
      </w:r>
      <w:r w:rsidRPr="00520897">
        <w:rPr>
          <w:bCs/>
          <w:sz w:val="22"/>
          <w:szCs w:val="22"/>
        </w:rPr>
        <w:t xml:space="preserve"> identified (</w:t>
      </w:r>
      <w:r w:rsidR="003168D3" w:rsidRPr="00520897">
        <w:rPr>
          <w:bCs/>
          <w:sz w:val="22"/>
          <w:szCs w:val="22"/>
        </w:rPr>
        <w:t>150.05-174 MHz and 400.15 420 MHz</w:t>
      </w:r>
      <w:r w:rsidRPr="00520897">
        <w:rPr>
          <w:bCs/>
          <w:sz w:val="22"/>
          <w:szCs w:val="22"/>
        </w:rPr>
        <w:t xml:space="preserve">) and the fact that already past and existing short duration mission projects utilized frequencies in the band 400.15 – 403 MHz this band can be considered as one of the prime interests for the proponents of this agenda item. </w:t>
      </w:r>
    </w:p>
    <w:p w:rsidR="00046FF4" w:rsidRPr="00520897" w:rsidRDefault="00046FF4" w:rsidP="00046FF4">
      <w:pPr>
        <w:rPr>
          <w:sz w:val="22"/>
          <w:szCs w:val="22"/>
          <w:lang w:eastAsia="zh-CN"/>
        </w:rPr>
      </w:pPr>
      <w:r w:rsidRPr="00520897">
        <w:rPr>
          <w:sz w:val="22"/>
          <w:szCs w:val="22"/>
          <w:lang w:eastAsia="zh-CN"/>
        </w:rPr>
        <w:t>WP 7B is currently working on the following reports in relation to this agenda item:</w:t>
      </w:r>
    </w:p>
    <w:p w:rsidR="00046FF4" w:rsidRPr="00520897" w:rsidRDefault="00046FF4" w:rsidP="00046FF4">
      <w:pPr>
        <w:pStyle w:val="enumlev1"/>
        <w:numPr>
          <w:ilvl w:val="0"/>
          <w:numId w:val="15"/>
        </w:numPr>
        <w:rPr>
          <w:sz w:val="22"/>
          <w:szCs w:val="22"/>
        </w:rPr>
      </w:pPr>
      <w:r w:rsidRPr="00520897">
        <w:rPr>
          <w:sz w:val="22"/>
          <w:szCs w:val="22"/>
        </w:rPr>
        <w:t>PDN Report ITU-R SA.[SHORT DURATION NGSO – CHARACTERISTICS],</w:t>
      </w:r>
    </w:p>
    <w:p w:rsidR="00046FF4" w:rsidRPr="00520897" w:rsidRDefault="00046FF4" w:rsidP="00046FF4">
      <w:pPr>
        <w:pStyle w:val="enumlev1"/>
        <w:numPr>
          <w:ilvl w:val="0"/>
          <w:numId w:val="15"/>
        </w:numPr>
        <w:rPr>
          <w:sz w:val="22"/>
          <w:szCs w:val="22"/>
        </w:rPr>
      </w:pPr>
      <w:r w:rsidRPr="00520897">
        <w:rPr>
          <w:sz w:val="22"/>
          <w:szCs w:val="22"/>
        </w:rPr>
        <w:t>WD to a PDN Report ITU-R SA.[SHORT DURATION NGSO – REQUIREMENTS]</w:t>
      </w:r>
      <w:r w:rsidR="00CD52D8">
        <w:rPr>
          <w:sz w:val="22"/>
          <w:szCs w:val="22"/>
        </w:rPr>
        <w:t>,</w:t>
      </w:r>
      <w:r w:rsidRPr="00520897">
        <w:rPr>
          <w:sz w:val="22"/>
          <w:szCs w:val="22"/>
        </w:rPr>
        <w:t xml:space="preserve"> </w:t>
      </w:r>
    </w:p>
    <w:p w:rsidR="00046FF4" w:rsidRPr="00520897" w:rsidRDefault="00046FF4" w:rsidP="00046FF4">
      <w:pPr>
        <w:pStyle w:val="enumlev1"/>
        <w:numPr>
          <w:ilvl w:val="0"/>
          <w:numId w:val="15"/>
        </w:numPr>
        <w:rPr>
          <w:sz w:val="22"/>
          <w:szCs w:val="22"/>
        </w:rPr>
      </w:pPr>
      <w:r w:rsidRPr="00520897">
        <w:rPr>
          <w:sz w:val="22"/>
          <w:szCs w:val="22"/>
        </w:rPr>
        <w:t>WD to a PDN Report ITU-R SA.[SHORT DURATION NGSO – SHARING STUDIES</w:t>
      </w:r>
      <w:r w:rsidR="00CD52D8">
        <w:rPr>
          <w:sz w:val="22"/>
          <w:szCs w:val="22"/>
        </w:rPr>
        <w:t>],</w:t>
      </w:r>
    </w:p>
    <w:p w:rsidR="00046FF4" w:rsidRPr="00520897" w:rsidRDefault="00046FF4" w:rsidP="00046FF4">
      <w:pPr>
        <w:pStyle w:val="enumlev1"/>
        <w:numPr>
          <w:ilvl w:val="0"/>
          <w:numId w:val="15"/>
        </w:numPr>
        <w:rPr>
          <w:sz w:val="22"/>
          <w:szCs w:val="22"/>
        </w:rPr>
      </w:pPr>
      <w:r w:rsidRPr="00520897">
        <w:rPr>
          <w:sz w:val="22"/>
          <w:szCs w:val="22"/>
        </w:rPr>
        <w:t>Draft CPM Text on AI 1.7.</w:t>
      </w:r>
    </w:p>
    <w:p w:rsidR="00DD4F36" w:rsidRPr="00520897" w:rsidRDefault="00DD4F36" w:rsidP="00DD4F36">
      <w:pPr>
        <w:pStyle w:val="Headingb"/>
        <w:rPr>
          <w:rFonts w:ascii="Times New Roman" w:eastAsia="Calibri" w:hAnsi="Times New Roman" w:cs="Times New Roman"/>
          <w:bCs/>
          <w:sz w:val="22"/>
          <w:szCs w:val="22"/>
          <w:u w:val="single"/>
          <w:lang w:val="en-US"/>
        </w:rPr>
      </w:pPr>
    </w:p>
    <w:p w:rsidR="00DD4F36" w:rsidRPr="00520897" w:rsidRDefault="00DD4F36" w:rsidP="00DD4F36">
      <w:pPr>
        <w:pStyle w:val="Headingb"/>
        <w:rPr>
          <w:rFonts w:ascii="Times New Roman" w:eastAsia="Calibri" w:hAnsi="Times New Roman" w:cs="Times New Roman"/>
          <w:bCs/>
          <w:sz w:val="22"/>
          <w:szCs w:val="22"/>
          <w:u w:val="single"/>
          <w:lang w:val="en-US"/>
        </w:rPr>
      </w:pPr>
      <w:r w:rsidRPr="00520897">
        <w:rPr>
          <w:rFonts w:ascii="Times New Roman" w:eastAsia="Calibri" w:hAnsi="Times New Roman" w:cs="Times New Roman"/>
          <w:bCs/>
          <w:sz w:val="22"/>
          <w:szCs w:val="22"/>
          <w:u w:val="single"/>
          <w:lang w:val="en-US"/>
        </w:rPr>
        <w:t xml:space="preserve">5 </w:t>
      </w:r>
      <w:r w:rsidRPr="00520897">
        <w:rPr>
          <w:rFonts w:ascii="Times New Roman" w:eastAsia="Calibri" w:hAnsi="Times New Roman" w:cs="Times New Roman"/>
          <w:bCs/>
          <w:sz w:val="22"/>
          <w:szCs w:val="22"/>
          <w:u w:val="single"/>
          <w:lang w:val="en-US"/>
        </w:rPr>
        <w:tab/>
        <w:t>WRC-19 Agenda Item 1.13 (</w:t>
      </w:r>
      <w:r w:rsidR="00077DC5" w:rsidRPr="00520897">
        <w:rPr>
          <w:rFonts w:ascii="Times New Roman" w:eastAsia="Calibri" w:hAnsi="Times New Roman" w:cs="Times New Roman"/>
          <w:bCs/>
          <w:sz w:val="22"/>
          <w:szCs w:val="22"/>
          <w:u w:val="single"/>
          <w:lang w:val="en-US"/>
        </w:rPr>
        <w:t>IMT in</w:t>
      </w:r>
      <w:r w:rsidRPr="00520897">
        <w:rPr>
          <w:rFonts w:ascii="Times New Roman" w:eastAsia="Calibri" w:hAnsi="Times New Roman" w:cs="Times New Roman"/>
          <w:bCs/>
          <w:sz w:val="22"/>
          <w:szCs w:val="22"/>
          <w:u w:val="single"/>
          <w:lang w:val="en-US"/>
        </w:rPr>
        <w:t xml:space="preserve"> band</w:t>
      </w:r>
      <w:r w:rsidR="00077DC5" w:rsidRPr="00520897">
        <w:rPr>
          <w:rFonts w:ascii="Times New Roman" w:eastAsia="Calibri" w:hAnsi="Times New Roman" w:cs="Times New Roman"/>
          <w:bCs/>
          <w:sz w:val="22"/>
          <w:szCs w:val="22"/>
          <w:u w:val="single"/>
          <w:lang w:val="en-US"/>
        </w:rPr>
        <w:t>s above 24</w:t>
      </w:r>
      <w:r w:rsidRPr="00520897">
        <w:rPr>
          <w:rFonts w:ascii="Times New Roman" w:eastAsia="Calibri" w:hAnsi="Times New Roman" w:cs="Times New Roman"/>
          <w:bCs/>
          <w:sz w:val="22"/>
          <w:szCs w:val="22"/>
          <w:u w:val="single"/>
          <w:lang w:val="en-US"/>
        </w:rPr>
        <w:t xml:space="preserve"> GHz)</w:t>
      </w:r>
    </w:p>
    <w:p w:rsidR="00077DC5" w:rsidRPr="00520897" w:rsidRDefault="00077DC5" w:rsidP="00077DC5">
      <w:pPr>
        <w:rPr>
          <w:sz w:val="22"/>
          <w:szCs w:val="22"/>
          <w:lang w:eastAsia="zh-CN"/>
        </w:rPr>
      </w:pPr>
      <w:r w:rsidRPr="00520897">
        <w:rPr>
          <w:sz w:val="22"/>
          <w:szCs w:val="22"/>
          <w:lang w:eastAsia="zh-CN"/>
        </w:rPr>
        <w:t xml:space="preserve">CEPT intends to </w:t>
      </w:r>
      <w:proofErr w:type="spellStart"/>
      <w:r w:rsidRPr="00520897">
        <w:rPr>
          <w:sz w:val="22"/>
          <w:szCs w:val="22"/>
          <w:lang w:eastAsia="zh-CN"/>
        </w:rPr>
        <w:t>harmonise</w:t>
      </w:r>
      <w:proofErr w:type="spellEnd"/>
      <w:r w:rsidRPr="00520897">
        <w:rPr>
          <w:sz w:val="22"/>
          <w:szCs w:val="22"/>
          <w:lang w:eastAsia="zh-CN"/>
        </w:rPr>
        <w:t xml:space="preserve"> the 24.25-27.5 GHz band for Europe for 5G before WRC-19 through the adoption of a </w:t>
      </w:r>
      <w:proofErr w:type="spellStart"/>
      <w:r w:rsidRPr="00520897">
        <w:rPr>
          <w:sz w:val="22"/>
          <w:szCs w:val="22"/>
          <w:lang w:eastAsia="zh-CN"/>
        </w:rPr>
        <w:t>harmonisation</w:t>
      </w:r>
      <w:proofErr w:type="spellEnd"/>
      <w:r w:rsidRPr="00520897">
        <w:rPr>
          <w:sz w:val="22"/>
          <w:szCs w:val="22"/>
          <w:lang w:eastAsia="zh-CN"/>
        </w:rPr>
        <w:t xml:space="preserve"> decision and to promote it for worldwide </w:t>
      </w:r>
      <w:proofErr w:type="spellStart"/>
      <w:r w:rsidRPr="00520897">
        <w:rPr>
          <w:sz w:val="22"/>
          <w:szCs w:val="22"/>
          <w:lang w:eastAsia="zh-CN"/>
        </w:rPr>
        <w:t>harmonisation</w:t>
      </w:r>
      <w:proofErr w:type="spellEnd"/>
      <w:r w:rsidRPr="00520897">
        <w:rPr>
          <w:sz w:val="22"/>
          <w:szCs w:val="22"/>
          <w:lang w:eastAsia="zh-CN"/>
        </w:rPr>
        <w:t>. Hence the 24.25-27.5 GHz is a clear priority for immediate study within CEPT. Studies need to take into account the compatibility with and protection of all existing services in the same and adjacent frequency bands in particular the protection of current and future EESS/SRS earth stations should be addressed.</w:t>
      </w:r>
    </w:p>
    <w:p w:rsidR="00077DC5" w:rsidRPr="00520897" w:rsidRDefault="00077DC5" w:rsidP="00077DC5">
      <w:pPr>
        <w:rPr>
          <w:sz w:val="22"/>
          <w:szCs w:val="22"/>
          <w:lang w:eastAsia="zh-CN"/>
        </w:rPr>
      </w:pPr>
      <w:r w:rsidRPr="00520897">
        <w:rPr>
          <w:sz w:val="22"/>
          <w:szCs w:val="22"/>
          <w:lang w:eastAsia="zh-CN"/>
        </w:rPr>
        <w:t>CEPT supports the identification of global bands for IMT among the bands listed in resolves to invite ITU R 2 of Resolution 238, taking into account the results of sharing and compatibility studies with existing services. Bands outside those listed in resolves to invite ITU-R 2 of Resolution 238 are not supported for consideration under this Agenda item.</w:t>
      </w:r>
    </w:p>
    <w:p w:rsidR="00DD4F36" w:rsidRPr="00520897" w:rsidRDefault="00077DC5" w:rsidP="00077DC5">
      <w:pPr>
        <w:rPr>
          <w:sz w:val="22"/>
          <w:szCs w:val="22"/>
          <w:lang w:eastAsia="zh-CN"/>
        </w:rPr>
      </w:pPr>
      <w:r w:rsidRPr="00520897">
        <w:rPr>
          <w:sz w:val="22"/>
          <w:szCs w:val="22"/>
          <w:lang w:eastAsia="zh-CN"/>
        </w:rPr>
        <w:t xml:space="preserve">Note: CEPT has developed a roadmap on 5G (see ECC(16)110 Annex 17). In this respect it is noted that “Europe has </w:t>
      </w:r>
      <w:proofErr w:type="spellStart"/>
      <w:r w:rsidRPr="00520897">
        <w:rPr>
          <w:sz w:val="22"/>
          <w:szCs w:val="22"/>
          <w:lang w:eastAsia="zh-CN"/>
        </w:rPr>
        <w:t>harmonised</w:t>
      </w:r>
      <w:proofErr w:type="spellEnd"/>
      <w:r w:rsidRPr="00520897">
        <w:rPr>
          <w:sz w:val="22"/>
          <w:szCs w:val="22"/>
          <w:lang w:eastAsia="zh-CN"/>
        </w:rPr>
        <w:t xml:space="preserve"> the 27.5-29.5 GHz band for broadband satellite and is supportive of the worldwide use of this band for ESIM. This band is therefore not available for 5G”.</w:t>
      </w:r>
    </w:p>
    <w:p w:rsidR="00077DC5" w:rsidRPr="00520897" w:rsidRDefault="00077DC5" w:rsidP="00077DC5">
      <w:pPr>
        <w:rPr>
          <w:sz w:val="22"/>
          <w:szCs w:val="22"/>
          <w:lang w:eastAsia="zh-CN"/>
        </w:rPr>
      </w:pPr>
      <w:r w:rsidRPr="00520897">
        <w:rPr>
          <w:sz w:val="22"/>
          <w:szCs w:val="22"/>
          <w:lang w:eastAsia="zh-CN"/>
        </w:rPr>
        <w:t xml:space="preserve">Considering the above, there is significant pressure within CEPT to identify also the band 25.5 – 27 GHz for IMT. The space agencies in Europe are already working on compatibility studies with 5G in this band in </w:t>
      </w:r>
      <w:r w:rsidRPr="00520897">
        <w:rPr>
          <w:sz w:val="22"/>
          <w:szCs w:val="22"/>
          <w:lang w:eastAsia="zh-CN"/>
        </w:rPr>
        <w:lastRenderedPageBreak/>
        <w:t xml:space="preserve">order to determine the protection/exclusion zones required around Earth stations receiving data from EESS and </w:t>
      </w:r>
      <w:proofErr w:type="spellStart"/>
      <w:r w:rsidRPr="00520897">
        <w:rPr>
          <w:sz w:val="22"/>
          <w:szCs w:val="22"/>
          <w:lang w:eastAsia="zh-CN"/>
        </w:rPr>
        <w:t>MetSat</w:t>
      </w:r>
      <w:proofErr w:type="spellEnd"/>
      <w:r w:rsidRPr="00520897">
        <w:rPr>
          <w:sz w:val="22"/>
          <w:szCs w:val="22"/>
          <w:lang w:eastAsia="zh-CN"/>
        </w:rPr>
        <w:t xml:space="preserve"> satellite systems.</w:t>
      </w:r>
    </w:p>
    <w:sectPr w:rsidR="00077DC5" w:rsidRPr="00520897" w:rsidSect="00C24C08">
      <w:headerReference w:type="default" r:id="rId26"/>
      <w:footnotePr>
        <w:numFmt w:val="chicago"/>
      </w:footnotePr>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261" w:rsidRDefault="00707261" w:rsidP="007A73F8">
      <w:pPr>
        <w:spacing w:before="0" w:after="0"/>
      </w:pPr>
      <w:r>
        <w:separator/>
      </w:r>
    </w:p>
  </w:endnote>
  <w:endnote w:type="continuationSeparator" w:id="0">
    <w:p w:rsidR="00707261" w:rsidRDefault="00707261" w:rsidP="007A73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Bookman Old Style"/>
    <w:panose1 w:val="020208030705050203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261" w:rsidRDefault="00707261" w:rsidP="007A73F8">
      <w:pPr>
        <w:spacing w:before="0" w:after="0"/>
      </w:pPr>
      <w:r>
        <w:separator/>
      </w:r>
    </w:p>
  </w:footnote>
  <w:footnote w:type="continuationSeparator" w:id="0">
    <w:p w:rsidR="00707261" w:rsidRDefault="00707261" w:rsidP="007A73F8">
      <w:pPr>
        <w:spacing w:before="0" w:after="0"/>
      </w:pPr>
      <w:r>
        <w:continuationSeparator/>
      </w:r>
    </w:p>
  </w:footnote>
  <w:footnote w:id="1">
    <w:p w:rsidR="00D72550" w:rsidRDefault="00D7255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50" w:rsidRPr="009C443D" w:rsidRDefault="00D72550" w:rsidP="009C443D">
    <w:pPr>
      <w:pStyle w:val="Header"/>
      <w:spacing w:beforeAutospacing="0" w:afterAutospacing="0"/>
      <w:jc w:val="center"/>
      <w:rPr>
        <w:rStyle w:val="PageNumber"/>
        <w:sz w:val="18"/>
        <w:szCs w:val="18"/>
      </w:rPr>
    </w:pPr>
    <w:r w:rsidRPr="009C443D">
      <w:rPr>
        <w:sz w:val="18"/>
        <w:szCs w:val="18"/>
      </w:rPr>
      <w:t xml:space="preserve">- </w:t>
    </w:r>
    <w:r w:rsidR="00FB56E2" w:rsidRPr="009C443D">
      <w:rPr>
        <w:rStyle w:val="PageNumber"/>
        <w:sz w:val="18"/>
        <w:szCs w:val="18"/>
      </w:rPr>
      <w:fldChar w:fldCharType="begin"/>
    </w:r>
    <w:r w:rsidRPr="009C443D">
      <w:rPr>
        <w:rStyle w:val="PageNumber"/>
        <w:sz w:val="18"/>
        <w:szCs w:val="18"/>
      </w:rPr>
      <w:instrText xml:space="preserve"> PAGE </w:instrText>
    </w:r>
    <w:r w:rsidR="00FB56E2" w:rsidRPr="009C443D">
      <w:rPr>
        <w:rStyle w:val="PageNumber"/>
        <w:sz w:val="18"/>
        <w:szCs w:val="18"/>
      </w:rPr>
      <w:fldChar w:fldCharType="separate"/>
    </w:r>
    <w:r w:rsidR="009D6DED">
      <w:rPr>
        <w:rStyle w:val="PageNumber"/>
        <w:noProof/>
        <w:sz w:val="18"/>
        <w:szCs w:val="18"/>
      </w:rPr>
      <w:t>4</w:t>
    </w:r>
    <w:r w:rsidR="00FB56E2" w:rsidRPr="009C443D">
      <w:rPr>
        <w:rStyle w:val="PageNumber"/>
        <w:sz w:val="18"/>
        <w:szCs w:val="18"/>
      </w:rPr>
      <w:fldChar w:fldCharType="end"/>
    </w:r>
    <w:r w:rsidRPr="009C443D">
      <w:rPr>
        <w:rStyle w:val="PageNumber"/>
        <w:sz w:val="18"/>
        <w:szCs w:val="18"/>
      </w:rPr>
      <w:t xml:space="preserve"> -</w:t>
    </w:r>
  </w:p>
  <w:p w:rsidR="00D72550" w:rsidRDefault="00D72550" w:rsidP="009140B6">
    <w:pPr>
      <w:pStyle w:val="Header"/>
      <w:spacing w:beforeAutospacing="0" w:afterAutospacing="0"/>
      <w:jc w:val="center"/>
      <w:rPr>
        <w:sz w:val="18"/>
        <w:szCs w:val="18"/>
      </w:rPr>
    </w:pPr>
    <w:r>
      <w:rPr>
        <w:sz w:val="18"/>
        <w:szCs w:val="18"/>
      </w:rPr>
      <w:t>SG-RFC/201</w:t>
    </w:r>
    <w:r w:rsidR="00314549">
      <w:rPr>
        <w:sz w:val="18"/>
        <w:szCs w:val="18"/>
        <w:lang w:val="en-AU"/>
      </w:rPr>
      <w:t>7</w:t>
    </w:r>
    <w:r>
      <w:rPr>
        <w:sz w:val="18"/>
        <w:szCs w:val="18"/>
      </w:rPr>
      <w:t>-</w:t>
    </w:r>
    <w:r w:rsidR="00314549">
      <w:rPr>
        <w:sz w:val="18"/>
        <w:szCs w:val="18"/>
        <w:lang w:val="en-AU"/>
      </w:rPr>
      <w:t>Doc</w:t>
    </w:r>
    <w:r w:rsidR="009140B6">
      <w:rPr>
        <w:sz w:val="18"/>
        <w:szCs w:val="18"/>
        <w:lang w:val="en-AU"/>
      </w:rPr>
      <w:t>11b</w:t>
    </w:r>
    <w:r w:rsidRPr="009C443D">
      <w:rPr>
        <w:sz w:val="18"/>
        <w:szCs w:val="18"/>
      </w:rPr>
      <w:t>-E</w:t>
    </w:r>
  </w:p>
  <w:p w:rsidR="00D72550" w:rsidRPr="009C443D" w:rsidRDefault="00D72550" w:rsidP="009C443D">
    <w:pPr>
      <w:pStyle w:val="Header"/>
      <w:spacing w:beforeAutospacing="0" w:afterAutospacing="0"/>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3E7D8A"/>
    <w:multiLevelType w:val="hybridMultilevel"/>
    <w:tmpl w:val="37D935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B70979"/>
    <w:multiLevelType w:val="hybridMultilevel"/>
    <w:tmpl w:val="39CE0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EB4A7C"/>
    <w:multiLevelType w:val="hybridMultilevel"/>
    <w:tmpl w:val="9E7C6FF8"/>
    <w:lvl w:ilvl="0" w:tplc="E83CE0E0">
      <w:start w:val="1"/>
      <w:numFmt w:val="bullet"/>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10B51A74"/>
    <w:multiLevelType w:val="hybridMultilevel"/>
    <w:tmpl w:val="079A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896153"/>
    <w:multiLevelType w:val="multilevel"/>
    <w:tmpl w:val="FCEC7FBC"/>
    <w:numStyleLink w:val="ECCBullets"/>
  </w:abstractNum>
  <w:abstractNum w:abstractNumId="5">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6">
    <w:nsid w:val="1BDE4817"/>
    <w:multiLevelType w:val="hybridMultilevel"/>
    <w:tmpl w:val="93B89354"/>
    <w:lvl w:ilvl="0" w:tplc="FE3030FC">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A87A02"/>
    <w:multiLevelType w:val="hybridMultilevel"/>
    <w:tmpl w:val="F3C8E714"/>
    <w:lvl w:ilvl="0" w:tplc="7AEC2072">
      <w:start w:val="1"/>
      <w:numFmt w:val="bullet"/>
      <w:pStyle w:val="ECCBulletsLv1"/>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8">
    <w:nsid w:val="3CC06347"/>
    <w:multiLevelType w:val="multilevel"/>
    <w:tmpl w:val="FCEC7FBC"/>
    <w:numStyleLink w:val="ECCBullets"/>
  </w:abstractNum>
  <w:abstractNum w:abstractNumId="9">
    <w:nsid w:val="445A04B7"/>
    <w:multiLevelType w:val="hybridMultilevel"/>
    <w:tmpl w:val="3AFEA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4D0B65"/>
    <w:multiLevelType w:val="multilevel"/>
    <w:tmpl w:val="FCEC7FBC"/>
    <w:numStyleLink w:val="ECCBullets"/>
  </w:abstractNum>
  <w:abstractNum w:abstractNumId="11">
    <w:nsid w:val="4FA541DF"/>
    <w:multiLevelType w:val="hybridMultilevel"/>
    <w:tmpl w:val="9FDC31EC"/>
    <w:lvl w:ilvl="0" w:tplc="1D50D1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770231F"/>
    <w:multiLevelType w:val="hybridMultilevel"/>
    <w:tmpl w:val="C0527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A670AC"/>
    <w:multiLevelType w:val="hybridMultilevel"/>
    <w:tmpl w:val="7AF0DF6A"/>
    <w:lvl w:ilvl="0" w:tplc="34AE899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A08304D"/>
    <w:multiLevelType w:val="hybridMultilevel"/>
    <w:tmpl w:val="91EC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71340E"/>
    <w:multiLevelType w:val="hybridMultilevel"/>
    <w:tmpl w:val="87729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8"/>
  </w:num>
  <w:num w:numId="5">
    <w:abstractNumId w:val="4"/>
  </w:num>
  <w:num w:numId="6">
    <w:abstractNumId w:val="10"/>
  </w:num>
  <w:num w:numId="7">
    <w:abstractNumId w:val="3"/>
  </w:num>
  <w:num w:numId="8">
    <w:abstractNumId w:val="9"/>
  </w:num>
  <w:num w:numId="9">
    <w:abstractNumId w:val="7"/>
  </w:num>
  <w:num w:numId="10">
    <w:abstractNumId w:val="12"/>
  </w:num>
  <w:num w:numId="11">
    <w:abstractNumId w:val="14"/>
  </w:num>
  <w:num w:numId="12">
    <w:abstractNumId w:val="13"/>
  </w:num>
  <w:num w:numId="13">
    <w:abstractNumId w:val="6"/>
  </w:num>
  <w:num w:numId="14">
    <w:abstractNumId w:val="2"/>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425"/>
  <w:doNotHyphenateCaps/>
  <w:drawingGridHorizontalSpacing w:val="120"/>
  <w:displayHorizontalDrawingGridEvery w:val="2"/>
  <w:characterSpacingControl w:val="doNotCompress"/>
  <w:doNotValidateAgainstSchema/>
  <w:doNotDemarcateInvalidXml/>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CB"/>
    <w:rsid w:val="00001090"/>
    <w:rsid w:val="00022F17"/>
    <w:rsid w:val="00023E3C"/>
    <w:rsid w:val="000309C2"/>
    <w:rsid w:val="000309FF"/>
    <w:rsid w:val="0004008D"/>
    <w:rsid w:val="00042B2B"/>
    <w:rsid w:val="00046FF4"/>
    <w:rsid w:val="000518BF"/>
    <w:rsid w:val="000757E9"/>
    <w:rsid w:val="00077DC5"/>
    <w:rsid w:val="00082939"/>
    <w:rsid w:val="00095E2E"/>
    <w:rsid w:val="000979EA"/>
    <w:rsid w:val="000A42FF"/>
    <w:rsid w:val="000A504D"/>
    <w:rsid w:val="000B08F8"/>
    <w:rsid w:val="000D057A"/>
    <w:rsid w:val="000E608D"/>
    <w:rsid w:val="000E6E30"/>
    <w:rsid w:val="000F5279"/>
    <w:rsid w:val="000F7274"/>
    <w:rsid w:val="00102305"/>
    <w:rsid w:val="00107650"/>
    <w:rsid w:val="00113766"/>
    <w:rsid w:val="00127822"/>
    <w:rsid w:val="0013643F"/>
    <w:rsid w:val="0014262E"/>
    <w:rsid w:val="00144843"/>
    <w:rsid w:val="00153C09"/>
    <w:rsid w:val="0016350F"/>
    <w:rsid w:val="00167708"/>
    <w:rsid w:val="00181EBA"/>
    <w:rsid w:val="00185160"/>
    <w:rsid w:val="0018521E"/>
    <w:rsid w:val="001A13D6"/>
    <w:rsid w:val="001B10D7"/>
    <w:rsid w:val="001B2071"/>
    <w:rsid w:val="001B25A7"/>
    <w:rsid w:val="001E2C33"/>
    <w:rsid w:val="00201D83"/>
    <w:rsid w:val="0020657D"/>
    <w:rsid w:val="00223B48"/>
    <w:rsid w:val="00236EE2"/>
    <w:rsid w:val="0027433C"/>
    <w:rsid w:val="00277FCC"/>
    <w:rsid w:val="0028284A"/>
    <w:rsid w:val="002A46EC"/>
    <w:rsid w:val="002A6E93"/>
    <w:rsid w:val="002B3CAD"/>
    <w:rsid w:val="002C5E11"/>
    <w:rsid w:val="002E18C0"/>
    <w:rsid w:val="002F10FE"/>
    <w:rsid w:val="00304706"/>
    <w:rsid w:val="00304C68"/>
    <w:rsid w:val="00314549"/>
    <w:rsid w:val="003168D3"/>
    <w:rsid w:val="00324DE2"/>
    <w:rsid w:val="00342936"/>
    <w:rsid w:val="00344376"/>
    <w:rsid w:val="00347E8E"/>
    <w:rsid w:val="0036338C"/>
    <w:rsid w:val="003745CC"/>
    <w:rsid w:val="003764B6"/>
    <w:rsid w:val="003A6054"/>
    <w:rsid w:val="003D38B9"/>
    <w:rsid w:val="003E6ECD"/>
    <w:rsid w:val="003F08D3"/>
    <w:rsid w:val="00412162"/>
    <w:rsid w:val="00422D26"/>
    <w:rsid w:val="004243CF"/>
    <w:rsid w:val="00427A8D"/>
    <w:rsid w:val="0043053C"/>
    <w:rsid w:val="0044117D"/>
    <w:rsid w:val="00441F05"/>
    <w:rsid w:val="00466CE7"/>
    <w:rsid w:val="00466E06"/>
    <w:rsid w:val="00477E34"/>
    <w:rsid w:val="00491B20"/>
    <w:rsid w:val="00497EC7"/>
    <w:rsid w:val="004A39AA"/>
    <w:rsid w:val="004A4FFB"/>
    <w:rsid w:val="004C3AF7"/>
    <w:rsid w:val="004C5A05"/>
    <w:rsid w:val="004E7941"/>
    <w:rsid w:val="004F0476"/>
    <w:rsid w:val="00510362"/>
    <w:rsid w:val="00510700"/>
    <w:rsid w:val="00520897"/>
    <w:rsid w:val="005A4505"/>
    <w:rsid w:val="005B5FEE"/>
    <w:rsid w:val="005B77D8"/>
    <w:rsid w:val="005D6572"/>
    <w:rsid w:val="00600386"/>
    <w:rsid w:val="00604C1A"/>
    <w:rsid w:val="00613500"/>
    <w:rsid w:val="00621459"/>
    <w:rsid w:val="006237F8"/>
    <w:rsid w:val="00647BFE"/>
    <w:rsid w:val="00651604"/>
    <w:rsid w:val="006546D0"/>
    <w:rsid w:val="0065683A"/>
    <w:rsid w:val="00665CAB"/>
    <w:rsid w:val="00682FE9"/>
    <w:rsid w:val="00683FE2"/>
    <w:rsid w:val="00695EB8"/>
    <w:rsid w:val="006A471D"/>
    <w:rsid w:val="006A4FF3"/>
    <w:rsid w:val="006B4441"/>
    <w:rsid w:val="006B4A94"/>
    <w:rsid w:val="006B7139"/>
    <w:rsid w:val="006C2597"/>
    <w:rsid w:val="006C73CD"/>
    <w:rsid w:val="006E7CAF"/>
    <w:rsid w:val="006F650D"/>
    <w:rsid w:val="00701FDB"/>
    <w:rsid w:val="00707261"/>
    <w:rsid w:val="00713E61"/>
    <w:rsid w:val="007147DA"/>
    <w:rsid w:val="00715E0D"/>
    <w:rsid w:val="00716EFA"/>
    <w:rsid w:val="00750671"/>
    <w:rsid w:val="007566C2"/>
    <w:rsid w:val="00767181"/>
    <w:rsid w:val="00767F46"/>
    <w:rsid w:val="00776EFE"/>
    <w:rsid w:val="007777CB"/>
    <w:rsid w:val="00781BC4"/>
    <w:rsid w:val="00790387"/>
    <w:rsid w:val="00794BD7"/>
    <w:rsid w:val="007A73F8"/>
    <w:rsid w:val="007A7EA5"/>
    <w:rsid w:val="007E395D"/>
    <w:rsid w:val="007F3F87"/>
    <w:rsid w:val="007F6686"/>
    <w:rsid w:val="008018FC"/>
    <w:rsid w:val="008075D2"/>
    <w:rsid w:val="00812884"/>
    <w:rsid w:val="00820C6F"/>
    <w:rsid w:val="00821B94"/>
    <w:rsid w:val="008276D1"/>
    <w:rsid w:val="00832FA4"/>
    <w:rsid w:val="0084266A"/>
    <w:rsid w:val="00852F63"/>
    <w:rsid w:val="008674B1"/>
    <w:rsid w:val="00872AB2"/>
    <w:rsid w:val="00872DBF"/>
    <w:rsid w:val="00876393"/>
    <w:rsid w:val="00881857"/>
    <w:rsid w:val="008907E5"/>
    <w:rsid w:val="00891B49"/>
    <w:rsid w:val="008D24C5"/>
    <w:rsid w:val="009140B6"/>
    <w:rsid w:val="009236D8"/>
    <w:rsid w:val="00924F3F"/>
    <w:rsid w:val="0093198A"/>
    <w:rsid w:val="00932C76"/>
    <w:rsid w:val="00964661"/>
    <w:rsid w:val="0097015B"/>
    <w:rsid w:val="00991D0C"/>
    <w:rsid w:val="009B022A"/>
    <w:rsid w:val="009B16D0"/>
    <w:rsid w:val="009B489C"/>
    <w:rsid w:val="009B758A"/>
    <w:rsid w:val="009C04CB"/>
    <w:rsid w:val="009C443D"/>
    <w:rsid w:val="009D4904"/>
    <w:rsid w:val="009D6DED"/>
    <w:rsid w:val="00A16C11"/>
    <w:rsid w:val="00A30EDB"/>
    <w:rsid w:val="00A409CB"/>
    <w:rsid w:val="00A530FD"/>
    <w:rsid w:val="00A80B44"/>
    <w:rsid w:val="00A90A0C"/>
    <w:rsid w:val="00AA5121"/>
    <w:rsid w:val="00AC011C"/>
    <w:rsid w:val="00AC408D"/>
    <w:rsid w:val="00AC6C80"/>
    <w:rsid w:val="00AD6787"/>
    <w:rsid w:val="00B13392"/>
    <w:rsid w:val="00B1445B"/>
    <w:rsid w:val="00B1454C"/>
    <w:rsid w:val="00B16073"/>
    <w:rsid w:val="00B16AE0"/>
    <w:rsid w:val="00B254A1"/>
    <w:rsid w:val="00B32BBD"/>
    <w:rsid w:val="00B33A0B"/>
    <w:rsid w:val="00B35CA8"/>
    <w:rsid w:val="00B566E1"/>
    <w:rsid w:val="00B571EC"/>
    <w:rsid w:val="00B65F89"/>
    <w:rsid w:val="00B72FC8"/>
    <w:rsid w:val="00B82D4A"/>
    <w:rsid w:val="00B85962"/>
    <w:rsid w:val="00BA38E7"/>
    <w:rsid w:val="00BB2405"/>
    <w:rsid w:val="00BB4ACF"/>
    <w:rsid w:val="00BB65DE"/>
    <w:rsid w:val="00BC0BDC"/>
    <w:rsid w:val="00BC3021"/>
    <w:rsid w:val="00BD497C"/>
    <w:rsid w:val="00BE37FE"/>
    <w:rsid w:val="00BE4EE4"/>
    <w:rsid w:val="00BF5FE7"/>
    <w:rsid w:val="00C24C08"/>
    <w:rsid w:val="00C2697F"/>
    <w:rsid w:val="00C30DF7"/>
    <w:rsid w:val="00C33900"/>
    <w:rsid w:val="00C34014"/>
    <w:rsid w:val="00C666C8"/>
    <w:rsid w:val="00C66F97"/>
    <w:rsid w:val="00C731AD"/>
    <w:rsid w:val="00CA07A6"/>
    <w:rsid w:val="00CA0ED3"/>
    <w:rsid w:val="00CA3ED5"/>
    <w:rsid w:val="00CC0BD7"/>
    <w:rsid w:val="00CC27FD"/>
    <w:rsid w:val="00CD52D8"/>
    <w:rsid w:val="00CE2A96"/>
    <w:rsid w:val="00CE46C1"/>
    <w:rsid w:val="00D01EB3"/>
    <w:rsid w:val="00D027EB"/>
    <w:rsid w:val="00D15B1F"/>
    <w:rsid w:val="00D60108"/>
    <w:rsid w:val="00D67682"/>
    <w:rsid w:val="00D72550"/>
    <w:rsid w:val="00D81D79"/>
    <w:rsid w:val="00D82060"/>
    <w:rsid w:val="00D9389A"/>
    <w:rsid w:val="00D96ED6"/>
    <w:rsid w:val="00DA0268"/>
    <w:rsid w:val="00DB3E5B"/>
    <w:rsid w:val="00DC1CA7"/>
    <w:rsid w:val="00DC310B"/>
    <w:rsid w:val="00DD4F36"/>
    <w:rsid w:val="00DE6A8F"/>
    <w:rsid w:val="00E24B4D"/>
    <w:rsid w:val="00E30F56"/>
    <w:rsid w:val="00E33512"/>
    <w:rsid w:val="00E6563A"/>
    <w:rsid w:val="00E70B8B"/>
    <w:rsid w:val="00E734B5"/>
    <w:rsid w:val="00E8009A"/>
    <w:rsid w:val="00E92007"/>
    <w:rsid w:val="00E92931"/>
    <w:rsid w:val="00E95CA2"/>
    <w:rsid w:val="00EA7371"/>
    <w:rsid w:val="00EC7D65"/>
    <w:rsid w:val="00ED6AEF"/>
    <w:rsid w:val="00EE4A74"/>
    <w:rsid w:val="00F12FBE"/>
    <w:rsid w:val="00F30103"/>
    <w:rsid w:val="00F5724C"/>
    <w:rsid w:val="00F701F9"/>
    <w:rsid w:val="00F704A4"/>
    <w:rsid w:val="00F737DB"/>
    <w:rsid w:val="00FB56E2"/>
    <w:rsid w:val="00FB7F60"/>
    <w:rsid w:val="00FC7EB3"/>
    <w:rsid w:val="00FD349E"/>
    <w:rsid w:val="00FD4D9D"/>
    <w:rsid w:val="00FD7ED5"/>
    <w:rsid w:val="00FE0656"/>
    <w:rsid w:val="00FE3FBC"/>
    <w:rsid w:val="00FE522A"/>
    <w:rsid w:val="00FF70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1"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A7"/>
    <w:pPr>
      <w:spacing w:before="100" w:beforeAutospacing="1" w:after="100" w:afterAutospacing="1"/>
    </w:pPr>
    <w:rPr>
      <w:rFonts w:ascii="Times New Roman" w:hAnsi="Times New Roman"/>
      <w:sz w:val="24"/>
      <w:szCs w:val="24"/>
    </w:rPr>
  </w:style>
  <w:style w:type="paragraph" w:styleId="Heading1">
    <w:name w:val="heading 1"/>
    <w:basedOn w:val="Normal"/>
    <w:next w:val="Normal"/>
    <w:link w:val="Heading1Char"/>
    <w:qFormat/>
    <w:locked/>
    <w:rsid w:val="00304C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sub 2"/>
    <w:basedOn w:val="Normal"/>
    <w:next w:val="Normal"/>
    <w:link w:val="Heading3Char"/>
    <w:qFormat/>
    <w:locked/>
    <w:rsid w:val="00304C68"/>
    <w:pPr>
      <w:keepNext/>
      <w:keepLines/>
      <w:tabs>
        <w:tab w:val="left" w:pos="1871"/>
        <w:tab w:val="left" w:pos="2268"/>
      </w:tabs>
      <w:overflowPunct w:val="0"/>
      <w:autoSpaceDE w:val="0"/>
      <w:autoSpaceDN w:val="0"/>
      <w:adjustRightInd w:val="0"/>
      <w:spacing w:before="200" w:beforeAutospacing="0" w:after="0" w:afterAutospacing="0"/>
      <w:ind w:left="1134" w:hanging="1134"/>
      <w:textAlignment w:val="baseline"/>
      <w:outlineLvl w:val="2"/>
    </w:pPr>
    <w:rPr>
      <w:rFonts w:eastAsia="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9CB"/>
    <w:pPr>
      <w:ind w:left="720"/>
    </w:pPr>
  </w:style>
  <w:style w:type="character" w:styleId="Hyperlink">
    <w:name w:val="Hyperlink"/>
    <w:uiPriority w:val="99"/>
    <w:rsid w:val="0036338C"/>
    <w:rPr>
      <w:color w:val="0000FF"/>
      <w:u w:val="single"/>
    </w:rPr>
  </w:style>
  <w:style w:type="character" w:styleId="FollowedHyperlink">
    <w:name w:val="FollowedHyperlink"/>
    <w:uiPriority w:val="99"/>
    <w:semiHidden/>
    <w:rsid w:val="00C34014"/>
    <w:rPr>
      <w:color w:val="800080"/>
      <w:u w:val="single"/>
    </w:r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
    <w:basedOn w:val="Normal"/>
    <w:link w:val="HeaderChar"/>
    <w:uiPriority w:val="99"/>
    <w:rsid w:val="007A73F8"/>
    <w:pPr>
      <w:tabs>
        <w:tab w:val="center" w:pos="4680"/>
        <w:tab w:val="right" w:pos="9360"/>
      </w:tabs>
      <w:spacing w:before="0" w:after="0"/>
    </w:p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
    <w:link w:val="Header"/>
    <w:uiPriority w:val="99"/>
    <w:locked/>
    <w:rsid w:val="007A73F8"/>
    <w:rPr>
      <w:rFonts w:ascii="Times New Roman" w:hAnsi="Times New Roman" w:cs="Times New Roman"/>
      <w:sz w:val="24"/>
      <w:szCs w:val="24"/>
    </w:rPr>
  </w:style>
  <w:style w:type="paragraph" w:styleId="Footer">
    <w:name w:val="footer"/>
    <w:basedOn w:val="Normal"/>
    <w:link w:val="FooterChar"/>
    <w:uiPriority w:val="99"/>
    <w:semiHidden/>
    <w:rsid w:val="007A73F8"/>
    <w:pPr>
      <w:tabs>
        <w:tab w:val="center" w:pos="4680"/>
        <w:tab w:val="right" w:pos="9360"/>
      </w:tabs>
      <w:spacing w:before="0" w:after="0"/>
    </w:pPr>
  </w:style>
  <w:style w:type="character" w:customStyle="1" w:styleId="FooterChar">
    <w:name w:val="Footer Char"/>
    <w:link w:val="Footer"/>
    <w:uiPriority w:val="99"/>
    <w:semiHidden/>
    <w:locked/>
    <w:rsid w:val="007A73F8"/>
    <w:rPr>
      <w:rFonts w:ascii="Times New Roman" w:hAnsi="Times New Roman" w:cs="Times New Roman"/>
      <w:sz w:val="24"/>
      <w:szCs w:val="24"/>
    </w:rPr>
  </w:style>
  <w:style w:type="paragraph" w:customStyle="1" w:styleId="RepNo">
    <w:name w:val="Rep_No"/>
    <w:basedOn w:val="Normal"/>
    <w:next w:val="Reptitle"/>
    <w:uiPriority w:val="99"/>
    <w:rsid w:val="000A504D"/>
    <w:pPr>
      <w:keepNext/>
      <w:keepLines/>
      <w:tabs>
        <w:tab w:val="left" w:pos="1134"/>
        <w:tab w:val="left" w:pos="1871"/>
        <w:tab w:val="left" w:pos="2268"/>
      </w:tabs>
      <w:overflowPunct w:val="0"/>
      <w:autoSpaceDE w:val="0"/>
      <w:autoSpaceDN w:val="0"/>
      <w:adjustRightInd w:val="0"/>
      <w:spacing w:before="480" w:beforeAutospacing="0" w:after="0" w:afterAutospacing="0"/>
      <w:jc w:val="center"/>
      <w:textAlignment w:val="baseline"/>
    </w:pPr>
    <w:rPr>
      <w:caps/>
      <w:sz w:val="28"/>
      <w:szCs w:val="28"/>
      <w:lang w:val="en-GB"/>
    </w:rPr>
  </w:style>
  <w:style w:type="paragraph" w:customStyle="1" w:styleId="Reptitle">
    <w:name w:val="Rep_title"/>
    <w:basedOn w:val="Normal"/>
    <w:next w:val="Normal"/>
    <w:uiPriority w:val="99"/>
    <w:rsid w:val="000A504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Normal"/>
    <w:next w:val="Normal"/>
    <w:link w:val="SourceChar"/>
    <w:uiPriority w:val="99"/>
    <w:rsid w:val="000A504D"/>
    <w:pPr>
      <w:tabs>
        <w:tab w:val="left" w:pos="1134"/>
        <w:tab w:val="left" w:pos="1871"/>
        <w:tab w:val="left" w:pos="2268"/>
      </w:tabs>
      <w:overflowPunct w:val="0"/>
      <w:autoSpaceDE w:val="0"/>
      <w:autoSpaceDN w:val="0"/>
      <w:adjustRightInd w:val="0"/>
      <w:spacing w:before="840" w:beforeAutospacing="0" w:after="0" w:afterAutospacing="0"/>
      <w:jc w:val="center"/>
      <w:textAlignment w:val="baseline"/>
    </w:pPr>
    <w:rPr>
      <w:rFonts w:ascii="Calibri" w:hAnsi="Calibri"/>
      <w:b/>
      <w:bCs/>
      <w:sz w:val="28"/>
      <w:szCs w:val="28"/>
      <w:lang w:val="en-GB"/>
    </w:rPr>
  </w:style>
  <w:style w:type="character" w:customStyle="1" w:styleId="SourceChar">
    <w:name w:val="Source Char"/>
    <w:link w:val="Source"/>
    <w:uiPriority w:val="99"/>
    <w:locked/>
    <w:rsid w:val="000A504D"/>
    <w:rPr>
      <w:b/>
      <w:bCs/>
      <w:sz w:val="28"/>
      <w:szCs w:val="28"/>
      <w:lang w:val="en-GB" w:eastAsia="en-US"/>
    </w:rPr>
  </w:style>
  <w:style w:type="paragraph" w:customStyle="1" w:styleId="Arttitle">
    <w:name w:val="Art_title"/>
    <w:basedOn w:val="Normal"/>
    <w:next w:val="Normal"/>
    <w:link w:val="ArttitleCar"/>
    <w:uiPriority w:val="99"/>
    <w:rsid w:val="009C443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rFonts w:ascii="Calibri" w:hAnsi="Calibri"/>
      <w:b/>
      <w:bCs/>
      <w:sz w:val="28"/>
      <w:szCs w:val="28"/>
      <w:lang w:val="en-GB"/>
    </w:rPr>
  </w:style>
  <w:style w:type="character" w:styleId="PageNumber">
    <w:name w:val="page number"/>
    <w:basedOn w:val="DefaultParagraphFont"/>
    <w:uiPriority w:val="99"/>
    <w:rsid w:val="009C443D"/>
  </w:style>
  <w:style w:type="character" w:customStyle="1" w:styleId="ArttitleCar">
    <w:name w:val="Art_title Car"/>
    <w:link w:val="Arttitle"/>
    <w:uiPriority w:val="99"/>
    <w:locked/>
    <w:rsid w:val="009C443D"/>
    <w:rPr>
      <w:b/>
      <w:bCs/>
      <w:sz w:val="28"/>
      <w:szCs w:val="28"/>
      <w:lang w:val="en-GB" w:eastAsia="en-US"/>
    </w:rPr>
  </w:style>
  <w:style w:type="paragraph" w:customStyle="1" w:styleId="Default">
    <w:name w:val="Default"/>
    <w:rsid w:val="00790387"/>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locked/>
    <w:rsid w:val="007A7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32FA4"/>
    <w:rPr>
      <w:sz w:val="20"/>
      <w:szCs w:val="20"/>
    </w:rPr>
  </w:style>
  <w:style w:type="character" w:styleId="FootnoteReference">
    <w:name w:val="footnote reference"/>
    <w:semiHidden/>
    <w:rsid w:val="00832FA4"/>
    <w:rPr>
      <w:vertAlign w:val="superscript"/>
    </w:rPr>
  </w:style>
  <w:style w:type="numbering" w:customStyle="1" w:styleId="ECCBullets">
    <w:name w:val="ECC Bullets"/>
    <w:basedOn w:val="NoList"/>
    <w:rsid w:val="00BE37FE"/>
    <w:pPr>
      <w:numPr>
        <w:numId w:val="3"/>
      </w:numPr>
    </w:pPr>
  </w:style>
  <w:style w:type="paragraph" w:customStyle="1" w:styleId="ECCParagraph">
    <w:name w:val="ECC Paragraph"/>
    <w:basedOn w:val="Normal"/>
    <w:rsid w:val="00B72FC8"/>
    <w:pPr>
      <w:spacing w:before="0" w:beforeAutospacing="0" w:after="240" w:afterAutospacing="0"/>
      <w:jc w:val="both"/>
    </w:pPr>
    <w:rPr>
      <w:rFonts w:ascii="Arial" w:eastAsia="Times New Roman" w:hAnsi="Arial"/>
      <w:sz w:val="22"/>
      <w:szCs w:val="22"/>
      <w:lang w:val="en-GB"/>
    </w:rPr>
  </w:style>
  <w:style w:type="paragraph" w:customStyle="1" w:styleId="ECCBulletsLv1">
    <w:name w:val="ECC Bullets Lv1"/>
    <w:basedOn w:val="Normal"/>
    <w:qFormat/>
    <w:rsid w:val="00AC408D"/>
    <w:pPr>
      <w:numPr>
        <w:numId w:val="9"/>
      </w:numPr>
      <w:spacing w:before="0" w:beforeAutospacing="0" w:after="0" w:afterAutospacing="0"/>
      <w:jc w:val="both"/>
    </w:pPr>
    <w:rPr>
      <w:rFonts w:ascii="Arial" w:eastAsia="Times New Roman" w:hAnsi="Arial"/>
      <w:sz w:val="22"/>
      <w:szCs w:val="22"/>
      <w:lang w:val="en-GB"/>
    </w:rPr>
  </w:style>
  <w:style w:type="character" w:customStyle="1" w:styleId="BRNormal">
    <w:name w:val="BR_Normal"/>
    <w:basedOn w:val="DefaultParagraphFont"/>
    <w:uiPriority w:val="1"/>
    <w:qFormat/>
    <w:rsid w:val="00D96ED6"/>
  </w:style>
  <w:style w:type="paragraph" w:customStyle="1" w:styleId="Texte">
    <w:name w:val="Texte"/>
    <w:basedOn w:val="Normal"/>
    <w:rsid w:val="00D60108"/>
    <w:pPr>
      <w:spacing w:before="0" w:beforeAutospacing="0" w:after="120" w:afterAutospacing="0"/>
      <w:jc w:val="both"/>
    </w:pPr>
    <w:rPr>
      <w:rFonts w:eastAsia="Times New Roman"/>
      <w:bCs/>
      <w:lang w:val="en-GB" w:eastAsia="fr-FR"/>
    </w:rPr>
  </w:style>
  <w:style w:type="character" w:customStyle="1" w:styleId="Artdef">
    <w:name w:val="Art_def"/>
    <w:basedOn w:val="DefaultParagraphFont"/>
    <w:rsid w:val="00CA3ED5"/>
    <w:rPr>
      <w:rFonts w:ascii="Times New Roman" w:hAnsi="Times New Roman"/>
      <w:b/>
    </w:rPr>
  </w:style>
  <w:style w:type="paragraph" w:customStyle="1" w:styleId="ECCBulletsLv2">
    <w:name w:val="ECC Bullets Lv2"/>
    <w:basedOn w:val="ECCBulletsLv1"/>
    <w:rsid w:val="00022F17"/>
    <w:pPr>
      <w:tabs>
        <w:tab w:val="left" w:pos="340"/>
      </w:tabs>
      <w:spacing w:before="60"/>
      <w:ind w:left="680"/>
    </w:pPr>
    <w:rPr>
      <w:rFonts w:eastAsia="Calibri"/>
      <w:sz w:val="20"/>
    </w:rPr>
  </w:style>
  <w:style w:type="character" w:styleId="Emphasis">
    <w:name w:val="Emphasis"/>
    <w:aliases w:val="ECC HL italics"/>
    <w:uiPriority w:val="1"/>
    <w:qFormat/>
    <w:locked/>
    <w:rsid w:val="000F5279"/>
    <w:rPr>
      <w:iCs w:val="0"/>
    </w:rPr>
  </w:style>
  <w:style w:type="character" w:customStyle="1" w:styleId="ECCHLbold">
    <w:name w:val="ECC HL bold"/>
    <w:basedOn w:val="DefaultParagraphFont"/>
    <w:uiPriority w:val="1"/>
    <w:qFormat/>
    <w:rsid w:val="00324DE2"/>
    <w:rPr>
      <w:b/>
      <w:bCs/>
    </w:rPr>
  </w:style>
  <w:style w:type="character" w:customStyle="1" w:styleId="ECCHLyellow">
    <w:name w:val="ECC HL yellow"/>
    <w:basedOn w:val="DefaultParagraphFont"/>
    <w:uiPriority w:val="1"/>
    <w:qFormat/>
    <w:rsid w:val="00095E2E"/>
    <w:rPr>
      <w:rFonts w:ascii="Calibri" w:eastAsia="Calibri" w:hAnsi="Calibri" w:hint="default"/>
      <w:i w:val="0"/>
      <w:iCs w:val="0"/>
      <w:szCs w:val="22"/>
      <w:bdr w:val="none" w:sz="0" w:space="0" w:color="auto" w:frame="1"/>
      <w:shd w:val="solid" w:color="FFFF00" w:fill="auto"/>
      <w:lang w:val="en-GB"/>
    </w:rPr>
  </w:style>
  <w:style w:type="character" w:customStyle="1" w:styleId="Heading3Char">
    <w:name w:val="Heading 3 Char"/>
    <w:aliases w:val="sub 2 Char"/>
    <w:basedOn w:val="DefaultParagraphFont"/>
    <w:link w:val="Heading3"/>
    <w:rsid w:val="00304C68"/>
    <w:rPr>
      <w:rFonts w:ascii="Times New Roman" w:eastAsia="Times New Roman" w:hAnsi="Times New Roman"/>
      <w:b/>
      <w:sz w:val="24"/>
      <w:lang w:val="en-GB"/>
    </w:rPr>
  </w:style>
  <w:style w:type="paragraph" w:customStyle="1" w:styleId="Headingi">
    <w:name w:val="Heading_i"/>
    <w:basedOn w:val="Normal"/>
    <w:next w:val="Normal"/>
    <w:qFormat/>
    <w:rsid w:val="00304C68"/>
    <w:pPr>
      <w:keepNext/>
      <w:keepLines/>
      <w:tabs>
        <w:tab w:val="left" w:pos="1134"/>
        <w:tab w:val="left" w:pos="1871"/>
        <w:tab w:val="left" w:pos="2268"/>
      </w:tabs>
      <w:overflowPunct w:val="0"/>
      <w:autoSpaceDE w:val="0"/>
      <w:autoSpaceDN w:val="0"/>
      <w:adjustRightInd w:val="0"/>
      <w:spacing w:before="160" w:beforeAutospacing="0" w:after="0" w:afterAutospacing="0"/>
      <w:textAlignment w:val="baseline"/>
    </w:pPr>
    <w:rPr>
      <w:rFonts w:eastAsia="Times New Roman"/>
      <w:i/>
      <w:szCs w:val="20"/>
      <w:lang w:val="en-GB"/>
    </w:rPr>
  </w:style>
  <w:style w:type="character" w:customStyle="1" w:styleId="Heading1Char">
    <w:name w:val="Heading 1 Char"/>
    <w:basedOn w:val="DefaultParagraphFont"/>
    <w:link w:val="Heading1"/>
    <w:rsid w:val="00304C68"/>
    <w:rPr>
      <w:rFonts w:asciiTheme="majorHAnsi" w:eastAsiaTheme="majorEastAsia" w:hAnsiTheme="majorHAnsi" w:cstheme="majorBidi"/>
      <w:b/>
      <w:bCs/>
      <w:color w:val="365F91" w:themeColor="accent1" w:themeShade="BF"/>
      <w:sz w:val="28"/>
      <w:szCs w:val="28"/>
    </w:rPr>
  </w:style>
  <w:style w:type="paragraph" w:customStyle="1" w:styleId="Tabletext">
    <w:name w:val="Table_text"/>
    <w:basedOn w:val="Normal"/>
    <w:rsid w:val="002B3CA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beforeAutospacing="0" w:after="40" w:afterAutospacing="0"/>
      <w:textAlignment w:val="baseline"/>
    </w:pPr>
    <w:rPr>
      <w:rFonts w:eastAsia="Times New Roman"/>
      <w:sz w:val="20"/>
      <w:szCs w:val="20"/>
      <w:lang w:val="en-GB"/>
    </w:rPr>
  </w:style>
  <w:style w:type="paragraph" w:customStyle="1" w:styleId="Tablehead">
    <w:name w:val="Table_head"/>
    <w:basedOn w:val="Normal"/>
    <w:rsid w:val="002B3CAD"/>
    <w:pPr>
      <w:keepNext/>
      <w:tabs>
        <w:tab w:val="left" w:pos="1134"/>
        <w:tab w:val="left" w:pos="1871"/>
        <w:tab w:val="left" w:pos="2268"/>
      </w:tabs>
      <w:overflowPunct w:val="0"/>
      <w:autoSpaceDE w:val="0"/>
      <w:autoSpaceDN w:val="0"/>
      <w:adjustRightInd w:val="0"/>
      <w:spacing w:before="80" w:beforeAutospacing="0" w:after="80" w:afterAutospacing="0"/>
      <w:jc w:val="center"/>
      <w:textAlignment w:val="baseline"/>
    </w:pPr>
    <w:rPr>
      <w:rFonts w:ascii="Times New Roman Bold" w:eastAsia="Times New Roman" w:hAnsi="Times New Roman Bold" w:cs="Times New Roman Bold"/>
      <w:b/>
      <w:sz w:val="20"/>
      <w:szCs w:val="20"/>
      <w:lang w:val="en-GB"/>
    </w:rPr>
  </w:style>
  <w:style w:type="paragraph" w:customStyle="1" w:styleId="Headingb">
    <w:name w:val="Heading_b"/>
    <w:basedOn w:val="Normal"/>
    <w:next w:val="Normal"/>
    <w:qFormat/>
    <w:rsid w:val="002B3CAD"/>
    <w:pPr>
      <w:keepNext/>
      <w:keepLines/>
      <w:tabs>
        <w:tab w:val="left" w:pos="1134"/>
        <w:tab w:val="left" w:pos="1871"/>
        <w:tab w:val="left" w:pos="2268"/>
      </w:tabs>
      <w:overflowPunct w:val="0"/>
      <w:autoSpaceDE w:val="0"/>
      <w:autoSpaceDN w:val="0"/>
      <w:adjustRightInd w:val="0"/>
      <w:spacing w:before="160" w:beforeAutospacing="0" w:after="0" w:afterAutospacing="0"/>
      <w:textAlignment w:val="baseline"/>
    </w:pPr>
    <w:rPr>
      <w:rFonts w:ascii="Times New Roman Bold" w:eastAsia="Times New Roman" w:hAnsi="Times New Roman Bold" w:cs="Times New Roman Bold"/>
      <w:b/>
      <w:szCs w:val="20"/>
      <w:lang w:val="fr-CH"/>
    </w:rPr>
  </w:style>
  <w:style w:type="paragraph" w:customStyle="1" w:styleId="enumlev1">
    <w:name w:val="enumlev1"/>
    <w:basedOn w:val="Normal"/>
    <w:link w:val="enumlev1Char"/>
    <w:rsid w:val="00046FF4"/>
    <w:pPr>
      <w:tabs>
        <w:tab w:val="left" w:pos="1134"/>
        <w:tab w:val="left" w:pos="1871"/>
        <w:tab w:val="left" w:pos="2608"/>
        <w:tab w:val="left" w:pos="3345"/>
      </w:tabs>
      <w:overflowPunct w:val="0"/>
      <w:autoSpaceDE w:val="0"/>
      <w:autoSpaceDN w:val="0"/>
      <w:adjustRightInd w:val="0"/>
      <w:spacing w:before="80" w:beforeAutospacing="0" w:after="0" w:afterAutospacing="0"/>
      <w:ind w:left="1134" w:hanging="1134"/>
      <w:textAlignment w:val="baseline"/>
    </w:pPr>
    <w:rPr>
      <w:rFonts w:eastAsia="Times New Roman"/>
      <w:szCs w:val="20"/>
      <w:lang w:val="en-GB"/>
    </w:rPr>
  </w:style>
  <w:style w:type="character" w:customStyle="1" w:styleId="enumlev1Char">
    <w:name w:val="enumlev1 Char"/>
    <w:basedOn w:val="DefaultParagraphFont"/>
    <w:link w:val="enumlev1"/>
    <w:locked/>
    <w:rsid w:val="00046FF4"/>
    <w:rPr>
      <w:rFonts w:ascii="Times New Roman" w:eastAsia="Times New Roman" w:hAnsi="Times New Roman"/>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1"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A7"/>
    <w:pPr>
      <w:spacing w:before="100" w:beforeAutospacing="1" w:after="100" w:afterAutospacing="1"/>
    </w:pPr>
    <w:rPr>
      <w:rFonts w:ascii="Times New Roman" w:hAnsi="Times New Roman"/>
      <w:sz w:val="24"/>
      <w:szCs w:val="24"/>
    </w:rPr>
  </w:style>
  <w:style w:type="paragraph" w:styleId="Heading1">
    <w:name w:val="heading 1"/>
    <w:basedOn w:val="Normal"/>
    <w:next w:val="Normal"/>
    <w:link w:val="Heading1Char"/>
    <w:qFormat/>
    <w:locked/>
    <w:rsid w:val="00304C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sub 2"/>
    <w:basedOn w:val="Normal"/>
    <w:next w:val="Normal"/>
    <w:link w:val="Heading3Char"/>
    <w:qFormat/>
    <w:locked/>
    <w:rsid w:val="00304C68"/>
    <w:pPr>
      <w:keepNext/>
      <w:keepLines/>
      <w:tabs>
        <w:tab w:val="left" w:pos="1871"/>
        <w:tab w:val="left" w:pos="2268"/>
      </w:tabs>
      <w:overflowPunct w:val="0"/>
      <w:autoSpaceDE w:val="0"/>
      <w:autoSpaceDN w:val="0"/>
      <w:adjustRightInd w:val="0"/>
      <w:spacing w:before="200" w:beforeAutospacing="0" w:after="0" w:afterAutospacing="0"/>
      <w:ind w:left="1134" w:hanging="1134"/>
      <w:textAlignment w:val="baseline"/>
      <w:outlineLvl w:val="2"/>
    </w:pPr>
    <w:rPr>
      <w:rFonts w:eastAsia="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9CB"/>
    <w:pPr>
      <w:ind w:left="720"/>
    </w:pPr>
  </w:style>
  <w:style w:type="character" w:styleId="Hyperlink">
    <w:name w:val="Hyperlink"/>
    <w:uiPriority w:val="99"/>
    <w:rsid w:val="0036338C"/>
    <w:rPr>
      <w:color w:val="0000FF"/>
      <w:u w:val="single"/>
    </w:rPr>
  </w:style>
  <w:style w:type="character" w:styleId="FollowedHyperlink">
    <w:name w:val="FollowedHyperlink"/>
    <w:uiPriority w:val="99"/>
    <w:semiHidden/>
    <w:rsid w:val="00C34014"/>
    <w:rPr>
      <w:color w:val="800080"/>
      <w:u w:val="single"/>
    </w:r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
    <w:basedOn w:val="Normal"/>
    <w:link w:val="HeaderChar"/>
    <w:uiPriority w:val="99"/>
    <w:rsid w:val="007A73F8"/>
    <w:pPr>
      <w:tabs>
        <w:tab w:val="center" w:pos="4680"/>
        <w:tab w:val="right" w:pos="9360"/>
      </w:tabs>
      <w:spacing w:before="0" w:after="0"/>
    </w:p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
    <w:link w:val="Header"/>
    <w:uiPriority w:val="99"/>
    <w:locked/>
    <w:rsid w:val="007A73F8"/>
    <w:rPr>
      <w:rFonts w:ascii="Times New Roman" w:hAnsi="Times New Roman" w:cs="Times New Roman"/>
      <w:sz w:val="24"/>
      <w:szCs w:val="24"/>
    </w:rPr>
  </w:style>
  <w:style w:type="paragraph" w:styleId="Footer">
    <w:name w:val="footer"/>
    <w:basedOn w:val="Normal"/>
    <w:link w:val="FooterChar"/>
    <w:uiPriority w:val="99"/>
    <w:semiHidden/>
    <w:rsid w:val="007A73F8"/>
    <w:pPr>
      <w:tabs>
        <w:tab w:val="center" w:pos="4680"/>
        <w:tab w:val="right" w:pos="9360"/>
      </w:tabs>
      <w:spacing w:before="0" w:after="0"/>
    </w:pPr>
  </w:style>
  <w:style w:type="character" w:customStyle="1" w:styleId="FooterChar">
    <w:name w:val="Footer Char"/>
    <w:link w:val="Footer"/>
    <w:uiPriority w:val="99"/>
    <w:semiHidden/>
    <w:locked/>
    <w:rsid w:val="007A73F8"/>
    <w:rPr>
      <w:rFonts w:ascii="Times New Roman" w:hAnsi="Times New Roman" w:cs="Times New Roman"/>
      <w:sz w:val="24"/>
      <w:szCs w:val="24"/>
    </w:rPr>
  </w:style>
  <w:style w:type="paragraph" w:customStyle="1" w:styleId="RepNo">
    <w:name w:val="Rep_No"/>
    <w:basedOn w:val="Normal"/>
    <w:next w:val="Reptitle"/>
    <w:uiPriority w:val="99"/>
    <w:rsid w:val="000A504D"/>
    <w:pPr>
      <w:keepNext/>
      <w:keepLines/>
      <w:tabs>
        <w:tab w:val="left" w:pos="1134"/>
        <w:tab w:val="left" w:pos="1871"/>
        <w:tab w:val="left" w:pos="2268"/>
      </w:tabs>
      <w:overflowPunct w:val="0"/>
      <w:autoSpaceDE w:val="0"/>
      <w:autoSpaceDN w:val="0"/>
      <w:adjustRightInd w:val="0"/>
      <w:spacing w:before="480" w:beforeAutospacing="0" w:after="0" w:afterAutospacing="0"/>
      <w:jc w:val="center"/>
      <w:textAlignment w:val="baseline"/>
    </w:pPr>
    <w:rPr>
      <w:caps/>
      <w:sz w:val="28"/>
      <w:szCs w:val="28"/>
      <w:lang w:val="en-GB"/>
    </w:rPr>
  </w:style>
  <w:style w:type="paragraph" w:customStyle="1" w:styleId="Reptitle">
    <w:name w:val="Rep_title"/>
    <w:basedOn w:val="Normal"/>
    <w:next w:val="Normal"/>
    <w:uiPriority w:val="99"/>
    <w:rsid w:val="000A504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Normal"/>
    <w:next w:val="Normal"/>
    <w:link w:val="SourceChar"/>
    <w:uiPriority w:val="99"/>
    <w:rsid w:val="000A504D"/>
    <w:pPr>
      <w:tabs>
        <w:tab w:val="left" w:pos="1134"/>
        <w:tab w:val="left" w:pos="1871"/>
        <w:tab w:val="left" w:pos="2268"/>
      </w:tabs>
      <w:overflowPunct w:val="0"/>
      <w:autoSpaceDE w:val="0"/>
      <w:autoSpaceDN w:val="0"/>
      <w:adjustRightInd w:val="0"/>
      <w:spacing w:before="840" w:beforeAutospacing="0" w:after="0" w:afterAutospacing="0"/>
      <w:jc w:val="center"/>
      <w:textAlignment w:val="baseline"/>
    </w:pPr>
    <w:rPr>
      <w:rFonts w:ascii="Calibri" w:hAnsi="Calibri"/>
      <w:b/>
      <w:bCs/>
      <w:sz w:val="28"/>
      <w:szCs w:val="28"/>
      <w:lang w:val="en-GB"/>
    </w:rPr>
  </w:style>
  <w:style w:type="character" w:customStyle="1" w:styleId="SourceChar">
    <w:name w:val="Source Char"/>
    <w:link w:val="Source"/>
    <w:uiPriority w:val="99"/>
    <w:locked/>
    <w:rsid w:val="000A504D"/>
    <w:rPr>
      <w:b/>
      <w:bCs/>
      <w:sz w:val="28"/>
      <w:szCs w:val="28"/>
      <w:lang w:val="en-GB" w:eastAsia="en-US"/>
    </w:rPr>
  </w:style>
  <w:style w:type="paragraph" w:customStyle="1" w:styleId="Arttitle">
    <w:name w:val="Art_title"/>
    <w:basedOn w:val="Normal"/>
    <w:next w:val="Normal"/>
    <w:link w:val="ArttitleCar"/>
    <w:uiPriority w:val="99"/>
    <w:rsid w:val="009C443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rFonts w:ascii="Calibri" w:hAnsi="Calibri"/>
      <w:b/>
      <w:bCs/>
      <w:sz w:val="28"/>
      <w:szCs w:val="28"/>
      <w:lang w:val="en-GB"/>
    </w:rPr>
  </w:style>
  <w:style w:type="character" w:styleId="PageNumber">
    <w:name w:val="page number"/>
    <w:basedOn w:val="DefaultParagraphFont"/>
    <w:uiPriority w:val="99"/>
    <w:rsid w:val="009C443D"/>
  </w:style>
  <w:style w:type="character" w:customStyle="1" w:styleId="ArttitleCar">
    <w:name w:val="Art_title Car"/>
    <w:link w:val="Arttitle"/>
    <w:uiPriority w:val="99"/>
    <w:locked/>
    <w:rsid w:val="009C443D"/>
    <w:rPr>
      <w:b/>
      <w:bCs/>
      <w:sz w:val="28"/>
      <w:szCs w:val="28"/>
      <w:lang w:val="en-GB" w:eastAsia="en-US"/>
    </w:rPr>
  </w:style>
  <w:style w:type="paragraph" w:customStyle="1" w:styleId="Default">
    <w:name w:val="Default"/>
    <w:rsid w:val="00790387"/>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locked/>
    <w:rsid w:val="007A7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32FA4"/>
    <w:rPr>
      <w:sz w:val="20"/>
      <w:szCs w:val="20"/>
    </w:rPr>
  </w:style>
  <w:style w:type="character" w:styleId="FootnoteReference">
    <w:name w:val="footnote reference"/>
    <w:semiHidden/>
    <w:rsid w:val="00832FA4"/>
    <w:rPr>
      <w:vertAlign w:val="superscript"/>
    </w:rPr>
  </w:style>
  <w:style w:type="numbering" w:customStyle="1" w:styleId="ECCBullets">
    <w:name w:val="ECC Bullets"/>
    <w:basedOn w:val="NoList"/>
    <w:rsid w:val="00BE37FE"/>
    <w:pPr>
      <w:numPr>
        <w:numId w:val="3"/>
      </w:numPr>
    </w:pPr>
  </w:style>
  <w:style w:type="paragraph" w:customStyle="1" w:styleId="ECCParagraph">
    <w:name w:val="ECC Paragraph"/>
    <w:basedOn w:val="Normal"/>
    <w:rsid w:val="00B72FC8"/>
    <w:pPr>
      <w:spacing w:before="0" w:beforeAutospacing="0" w:after="240" w:afterAutospacing="0"/>
      <w:jc w:val="both"/>
    </w:pPr>
    <w:rPr>
      <w:rFonts w:ascii="Arial" w:eastAsia="Times New Roman" w:hAnsi="Arial"/>
      <w:sz w:val="22"/>
      <w:szCs w:val="22"/>
      <w:lang w:val="en-GB"/>
    </w:rPr>
  </w:style>
  <w:style w:type="paragraph" w:customStyle="1" w:styleId="ECCBulletsLv1">
    <w:name w:val="ECC Bullets Lv1"/>
    <w:basedOn w:val="Normal"/>
    <w:qFormat/>
    <w:rsid w:val="00AC408D"/>
    <w:pPr>
      <w:numPr>
        <w:numId w:val="9"/>
      </w:numPr>
      <w:spacing w:before="0" w:beforeAutospacing="0" w:after="0" w:afterAutospacing="0"/>
      <w:jc w:val="both"/>
    </w:pPr>
    <w:rPr>
      <w:rFonts w:ascii="Arial" w:eastAsia="Times New Roman" w:hAnsi="Arial"/>
      <w:sz w:val="22"/>
      <w:szCs w:val="22"/>
      <w:lang w:val="en-GB"/>
    </w:rPr>
  </w:style>
  <w:style w:type="character" w:customStyle="1" w:styleId="BRNormal">
    <w:name w:val="BR_Normal"/>
    <w:basedOn w:val="DefaultParagraphFont"/>
    <w:uiPriority w:val="1"/>
    <w:qFormat/>
    <w:rsid w:val="00D96ED6"/>
  </w:style>
  <w:style w:type="paragraph" w:customStyle="1" w:styleId="Texte">
    <w:name w:val="Texte"/>
    <w:basedOn w:val="Normal"/>
    <w:rsid w:val="00D60108"/>
    <w:pPr>
      <w:spacing w:before="0" w:beforeAutospacing="0" w:after="120" w:afterAutospacing="0"/>
      <w:jc w:val="both"/>
    </w:pPr>
    <w:rPr>
      <w:rFonts w:eastAsia="Times New Roman"/>
      <w:bCs/>
      <w:lang w:val="en-GB" w:eastAsia="fr-FR"/>
    </w:rPr>
  </w:style>
  <w:style w:type="character" w:customStyle="1" w:styleId="Artdef">
    <w:name w:val="Art_def"/>
    <w:basedOn w:val="DefaultParagraphFont"/>
    <w:rsid w:val="00CA3ED5"/>
    <w:rPr>
      <w:rFonts w:ascii="Times New Roman" w:hAnsi="Times New Roman"/>
      <w:b/>
    </w:rPr>
  </w:style>
  <w:style w:type="paragraph" w:customStyle="1" w:styleId="ECCBulletsLv2">
    <w:name w:val="ECC Bullets Lv2"/>
    <w:basedOn w:val="ECCBulletsLv1"/>
    <w:rsid w:val="00022F17"/>
    <w:pPr>
      <w:tabs>
        <w:tab w:val="left" w:pos="340"/>
      </w:tabs>
      <w:spacing w:before="60"/>
      <w:ind w:left="680"/>
    </w:pPr>
    <w:rPr>
      <w:rFonts w:eastAsia="Calibri"/>
      <w:sz w:val="20"/>
    </w:rPr>
  </w:style>
  <w:style w:type="character" w:styleId="Emphasis">
    <w:name w:val="Emphasis"/>
    <w:aliases w:val="ECC HL italics"/>
    <w:uiPriority w:val="1"/>
    <w:qFormat/>
    <w:locked/>
    <w:rsid w:val="000F5279"/>
    <w:rPr>
      <w:iCs w:val="0"/>
    </w:rPr>
  </w:style>
  <w:style w:type="character" w:customStyle="1" w:styleId="ECCHLbold">
    <w:name w:val="ECC HL bold"/>
    <w:basedOn w:val="DefaultParagraphFont"/>
    <w:uiPriority w:val="1"/>
    <w:qFormat/>
    <w:rsid w:val="00324DE2"/>
    <w:rPr>
      <w:b/>
      <w:bCs/>
    </w:rPr>
  </w:style>
  <w:style w:type="character" w:customStyle="1" w:styleId="ECCHLyellow">
    <w:name w:val="ECC HL yellow"/>
    <w:basedOn w:val="DefaultParagraphFont"/>
    <w:uiPriority w:val="1"/>
    <w:qFormat/>
    <w:rsid w:val="00095E2E"/>
    <w:rPr>
      <w:rFonts w:ascii="Calibri" w:eastAsia="Calibri" w:hAnsi="Calibri" w:hint="default"/>
      <w:i w:val="0"/>
      <w:iCs w:val="0"/>
      <w:szCs w:val="22"/>
      <w:bdr w:val="none" w:sz="0" w:space="0" w:color="auto" w:frame="1"/>
      <w:shd w:val="solid" w:color="FFFF00" w:fill="auto"/>
      <w:lang w:val="en-GB"/>
    </w:rPr>
  </w:style>
  <w:style w:type="character" w:customStyle="1" w:styleId="Heading3Char">
    <w:name w:val="Heading 3 Char"/>
    <w:aliases w:val="sub 2 Char"/>
    <w:basedOn w:val="DefaultParagraphFont"/>
    <w:link w:val="Heading3"/>
    <w:rsid w:val="00304C68"/>
    <w:rPr>
      <w:rFonts w:ascii="Times New Roman" w:eastAsia="Times New Roman" w:hAnsi="Times New Roman"/>
      <w:b/>
      <w:sz w:val="24"/>
      <w:lang w:val="en-GB"/>
    </w:rPr>
  </w:style>
  <w:style w:type="paragraph" w:customStyle="1" w:styleId="Headingi">
    <w:name w:val="Heading_i"/>
    <w:basedOn w:val="Normal"/>
    <w:next w:val="Normal"/>
    <w:qFormat/>
    <w:rsid w:val="00304C68"/>
    <w:pPr>
      <w:keepNext/>
      <w:keepLines/>
      <w:tabs>
        <w:tab w:val="left" w:pos="1134"/>
        <w:tab w:val="left" w:pos="1871"/>
        <w:tab w:val="left" w:pos="2268"/>
      </w:tabs>
      <w:overflowPunct w:val="0"/>
      <w:autoSpaceDE w:val="0"/>
      <w:autoSpaceDN w:val="0"/>
      <w:adjustRightInd w:val="0"/>
      <w:spacing w:before="160" w:beforeAutospacing="0" w:after="0" w:afterAutospacing="0"/>
      <w:textAlignment w:val="baseline"/>
    </w:pPr>
    <w:rPr>
      <w:rFonts w:eastAsia="Times New Roman"/>
      <w:i/>
      <w:szCs w:val="20"/>
      <w:lang w:val="en-GB"/>
    </w:rPr>
  </w:style>
  <w:style w:type="character" w:customStyle="1" w:styleId="Heading1Char">
    <w:name w:val="Heading 1 Char"/>
    <w:basedOn w:val="DefaultParagraphFont"/>
    <w:link w:val="Heading1"/>
    <w:rsid w:val="00304C68"/>
    <w:rPr>
      <w:rFonts w:asciiTheme="majorHAnsi" w:eastAsiaTheme="majorEastAsia" w:hAnsiTheme="majorHAnsi" w:cstheme="majorBidi"/>
      <w:b/>
      <w:bCs/>
      <w:color w:val="365F91" w:themeColor="accent1" w:themeShade="BF"/>
      <w:sz w:val="28"/>
      <w:szCs w:val="28"/>
    </w:rPr>
  </w:style>
  <w:style w:type="paragraph" w:customStyle="1" w:styleId="Tabletext">
    <w:name w:val="Table_text"/>
    <w:basedOn w:val="Normal"/>
    <w:rsid w:val="002B3CA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beforeAutospacing="0" w:after="40" w:afterAutospacing="0"/>
      <w:textAlignment w:val="baseline"/>
    </w:pPr>
    <w:rPr>
      <w:rFonts w:eastAsia="Times New Roman"/>
      <w:sz w:val="20"/>
      <w:szCs w:val="20"/>
      <w:lang w:val="en-GB"/>
    </w:rPr>
  </w:style>
  <w:style w:type="paragraph" w:customStyle="1" w:styleId="Tablehead">
    <w:name w:val="Table_head"/>
    <w:basedOn w:val="Normal"/>
    <w:rsid w:val="002B3CAD"/>
    <w:pPr>
      <w:keepNext/>
      <w:tabs>
        <w:tab w:val="left" w:pos="1134"/>
        <w:tab w:val="left" w:pos="1871"/>
        <w:tab w:val="left" w:pos="2268"/>
      </w:tabs>
      <w:overflowPunct w:val="0"/>
      <w:autoSpaceDE w:val="0"/>
      <w:autoSpaceDN w:val="0"/>
      <w:adjustRightInd w:val="0"/>
      <w:spacing w:before="80" w:beforeAutospacing="0" w:after="80" w:afterAutospacing="0"/>
      <w:jc w:val="center"/>
      <w:textAlignment w:val="baseline"/>
    </w:pPr>
    <w:rPr>
      <w:rFonts w:ascii="Times New Roman Bold" w:eastAsia="Times New Roman" w:hAnsi="Times New Roman Bold" w:cs="Times New Roman Bold"/>
      <w:b/>
      <w:sz w:val="20"/>
      <w:szCs w:val="20"/>
      <w:lang w:val="en-GB"/>
    </w:rPr>
  </w:style>
  <w:style w:type="paragraph" w:customStyle="1" w:styleId="Headingb">
    <w:name w:val="Heading_b"/>
    <w:basedOn w:val="Normal"/>
    <w:next w:val="Normal"/>
    <w:qFormat/>
    <w:rsid w:val="002B3CAD"/>
    <w:pPr>
      <w:keepNext/>
      <w:keepLines/>
      <w:tabs>
        <w:tab w:val="left" w:pos="1134"/>
        <w:tab w:val="left" w:pos="1871"/>
        <w:tab w:val="left" w:pos="2268"/>
      </w:tabs>
      <w:overflowPunct w:val="0"/>
      <w:autoSpaceDE w:val="0"/>
      <w:autoSpaceDN w:val="0"/>
      <w:adjustRightInd w:val="0"/>
      <w:spacing w:before="160" w:beforeAutospacing="0" w:after="0" w:afterAutospacing="0"/>
      <w:textAlignment w:val="baseline"/>
    </w:pPr>
    <w:rPr>
      <w:rFonts w:ascii="Times New Roman Bold" w:eastAsia="Times New Roman" w:hAnsi="Times New Roman Bold" w:cs="Times New Roman Bold"/>
      <w:b/>
      <w:szCs w:val="20"/>
      <w:lang w:val="fr-CH"/>
    </w:rPr>
  </w:style>
  <w:style w:type="paragraph" w:customStyle="1" w:styleId="enumlev1">
    <w:name w:val="enumlev1"/>
    <w:basedOn w:val="Normal"/>
    <w:link w:val="enumlev1Char"/>
    <w:rsid w:val="00046FF4"/>
    <w:pPr>
      <w:tabs>
        <w:tab w:val="left" w:pos="1134"/>
        <w:tab w:val="left" w:pos="1871"/>
        <w:tab w:val="left" w:pos="2608"/>
        <w:tab w:val="left" w:pos="3345"/>
      </w:tabs>
      <w:overflowPunct w:val="0"/>
      <w:autoSpaceDE w:val="0"/>
      <w:autoSpaceDN w:val="0"/>
      <w:adjustRightInd w:val="0"/>
      <w:spacing w:before="80" w:beforeAutospacing="0" w:after="0" w:afterAutospacing="0"/>
      <w:ind w:left="1134" w:hanging="1134"/>
      <w:textAlignment w:val="baseline"/>
    </w:pPr>
    <w:rPr>
      <w:rFonts w:eastAsia="Times New Roman"/>
      <w:szCs w:val="20"/>
      <w:lang w:val="en-GB"/>
    </w:rPr>
  </w:style>
  <w:style w:type="character" w:customStyle="1" w:styleId="enumlev1Char">
    <w:name w:val="enumlev1 Char"/>
    <w:basedOn w:val="DefaultParagraphFont"/>
    <w:link w:val="enumlev1"/>
    <w:locked/>
    <w:rsid w:val="00046FF4"/>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8162">
      <w:bodyDiv w:val="1"/>
      <w:marLeft w:val="0"/>
      <w:marRight w:val="0"/>
      <w:marTop w:val="0"/>
      <w:marBottom w:val="0"/>
      <w:divBdr>
        <w:top w:val="none" w:sz="0" w:space="0" w:color="auto"/>
        <w:left w:val="none" w:sz="0" w:space="0" w:color="auto"/>
        <w:bottom w:val="none" w:sz="0" w:space="0" w:color="auto"/>
        <w:right w:val="none" w:sz="0" w:space="0" w:color="auto"/>
      </w:divBdr>
    </w:div>
    <w:div w:id="395514139">
      <w:bodyDiv w:val="1"/>
      <w:marLeft w:val="0"/>
      <w:marRight w:val="0"/>
      <w:marTop w:val="0"/>
      <w:marBottom w:val="0"/>
      <w:divBdr>
        <w:top w:val="none" w:sz="0" w:space="0" w:color="auto"/>
        <w:left w:val="none" w:sz="0" w:space="0" w:color="auto"/>
        <w:bottom w:val="none" w:sz="0" w:space="0" w:color="auto"/>
        <w:right w:val="none" w:sz="0" w:space="0" w:color="auto"/>
      </w:divBdr>
    </w:div>
    <w:div w:id="665787199">
      <w:bodyDiv w:val="1"/>
      <w:marLeft w:val="0"/>
      <w:marRight w:val="0"/>
      <w:marTop w:val="0"/>
      <w:marBottom w:val="0"/>
      <w:divBdr>
        <w:top w:val="none" w:sz="0" w:space="0" w:color="auto"/>
        <w:left w:val="none" w:sz="0" w:space="0" w:color="auto"/>
        <w:bottom w:val="none" w:sz="0" w:space="0" w:color="auto"/>
        <w:right w:val="none" w:sz="0" w:space="0" w:color="auto"/>
      </w:divBdr>
    </w:div>
    <w:div w:id="1077747737">
      <w:bodyDiv w:val="1"/>
      <w:marLeft w:val="0"/>
      <w:marRight w:val="0"/>
      <w:marTop w:val="0"/>
      <w:marBottom w:val="0"/>
      <w:divBdr>
        <w:top w:val="none" w:sz="0" w:space="0" w:color="auto"/>
        <w:left w:val="none" w:sz="0" w:space="0" w:color="auto"/>
        <w:bottom w:val="none" w:sz="0" w:space="0" w:color="auto"/>
        <w:right w:val="none" w:sz="0" w:space="0" w:color="auto"/>
      </w:divBdr>
    </w:div>
    <w:div w:id="1621257358">
      <w:bodyDiv w:val="1"/>
      <w:marLeft w:val="0"/>
      <w:marRight w:val="0"/>
      <w:marTop w:val="0"/>
      <w:marBottom w:val="0"/>
      <w:divBdr>
        <w:top w:val="none" w:sz="0" w:space="0" w:color="auto"/>
        <w:left w:val="none" w:sz="0" w:space="0" w:color="auto"/>
        <w:bottom w:val="none" w:sz="0" w:space="0" w:color="auto"/>
        <w:right w:val="none" w:sz="0" w:space="0" w:color="auto"/>
      </w:divBdr>
    </w:div>
    <w:div w:id="1787890944">
      <w:bodyDiv w:val="1"/>
      <w:marLeft w:val="0"/>
      <w:marRight w:val="0"/>
      <w:marTop w:val="0"/>
      <w:marBottom w:val="0"/>
      <w:divBdr>
        <w:top w:val="none" w:sz="0" w:space="0" w:color="auto"/>
        <w:left w:val="none" w:sz="0" w:space="0" w:color="auto"/>
        <w:bottom w:val="none" w:sz="0" w:space="0" w:color="auto"/>
        <w:right w:val="none" w:sz="0" w:space="0" w:color="auto"/>
      </w:divBdr>
    </w:div>
    <w:div w:id="188255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rec/R-REC-SA.1021/en" TargetMode="External"/><Relationship Id="rId18" Type="http://schemas.openxmlformats.org/officeDocument/2006/relationships/hyperlink" Target="http://www.itu.int/rec/R-REC-SA.1027/e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tu.int/rec/R-REC-SA.1161/en" TargetMode="External"/><Relationship Id="rId7" Type="http://schemas.openxmlformats.org/officeDocument/2006/relationships/footnotes" Target="footnotes.xml"/><Relationship Id="rId12" Type="http://schemas.openxmlformats.org/officeDocument/2006/relationships/hyperlink" Target="http://www.itu.int/rec/R-REC-SA.1020/en" TargetMode="External"/><Relationship Id="rId17" Type="http://schemas.openxmlformats.org/officeDocument/2006/relationships/hyperlink" Target="http://www.itu.int/rec/R-REC-SA.1026/en" TargetMode="External"/><Relationship Id="rId25" Type="http://schemas.openxmlformats.org/officeDocument/2006/relationships/hyperlink" Target="http://www.itu.int/rec/R-REC-SA.1627/en" TargetMode="External"/><Relationship Id="rId2" Type="http://schemas.openxmlformats.org/officeDocument/2006/relationships/numbering" Target="numbering.xml"/><Relationship Id="rId16" Type="http://schemas.openxmlformats.org/officeDocument/2006/relationships/hyperlink" Target="http://www.itu.int/rec/R-REC-SA.1025/en" TargetMode="External"/><Relationship Id="rId20" Type="http://schemas.openxmlformats.org/officeDocument/2006/relationships/hyperlink" Target="http://www.itu.int/rec/R-REC-SA.1160/en"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rec/R-REC-SA.514/en" TargetMode="External"/><Relationship Id="rId24" Type="http://schemas.openxmlformats.org/officeDocument/2006/relationships/hyperlink" Target="http://www.itu.int/rec/R-REC-SA.1164/en" TargetMode="External"/><Relationship Id="rId5" Type="http://schemas.openxmlformats.org/officeDocument/2006/relationships/settings" Target="settings.xml"/><Relationship Id="rId15" Type="http://schemas.openxmlformats.org/officeDocument/2006/relationships/hyperlink" Target="http://www.itu.int/rec/R-REC-SA.1023/en" TargetMode="External"/><Relationship Id="rId23" Type="http://schemas.openxmlformats.org/officeDocument/2006/relationships/hyperlink" Target="http://www.itu.int/rec/R-REC-SA.1163/en" TargetMode="Externa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www.itu.int/rec/R-REC-SA.1159/en" TargetMode="External"/><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rec/R-REC-SA.1022/en" TargetMode="External"/><Relationship Id="rId22" Type="http://schemas.openxmlformats.org/officeDocument/2006/relationships/hyperlink" Target="http://www.itu.int/rec/R-REC-SA.1162/en"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3" ma:contentTypeDescription="Create a new document." ma:contentTypeScope="" ma:versionID="e78154a7b4a8d5f2d29b1d37b087c6e1">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6e931cfba8e3600c2e05a90aeb23a81e"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DE58D1-536D-4F21-8A89-71291FCAE175}">
  <ds:schemaRefs>
    <ds:schemaRef ds:uri="http://schemas.openxmlformats.org/officeDocument/2006/bibliography"/>
  </ds:schemaRefs>
</ds:datastoreItem>
</file>

<file path=customXml/itemProps2.xml><?xml version="1.0" encoding="utf-8"?>
<ds:datastoreItem xmlns:ds="http://schemas.openxmlformats.org/officeDocument/2006/customXml" ds:itemID="{8CD0FA0C-E748-4EE3-B85D-D9AADE57CDEE}"/>
</file>

<file path=customXml/itemProps3.xml><?xml version="1.0" encoding="utf-8"?>
<ds:datastoreItem xmlns:ds="http://schemas.openxmlformats.org/officeDocument/2006/customXml" ds:itemID="{4EFB51FE-3361-43E3-8DF0-2A64BDDB69C0}"/>
</file>

<file path=customXml/itemProps4.xml><?xml version="1.0" encoding="utf-8"?>
<ds:datastoreItem xmlns:ds="http://schemas.openxmlformats.org/officeDocument/2006/customXml" ds:itemID="{647F4834-7256-4208-96B6-83DFB4617EDF}"/>
</file>

<file path=docProps/app.xml><?xml version="1.0" encoding="utf-8"?>
<Properties xmlns="http://schemas.openxmlformats.org/officeDocument/2006/extended-properties" xmlns:vt="http://schemas.openxmlformats.org/officeDocument/2006/docPropsVTypes">
  <Template>Normal.dotm</Template>
  <TotalTime>1</TotalTime>
  <Pages>6</Pages>
  <Words>2315</Words>
  <Characters>13431</Characters>
  <Application>Microsoft Office Word</Application>
  <DocSecurity>0</DocSecurity>
  <Lines>220</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WMO SG-RFC Document</vt:lpstr>
      <vt:lpstr>WMO SG-RFC Document</vt:lpstr>
    </vt:vector>
  </TitlesOfParts>
  <Company>WMO</Company>
  <LinksUpToDate>false</LinksUpToDate>
  <CharactersWithSpaces>15679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SG-RFC Document</dc:title>
  <dc:subject>Metsat Issues</dc:subject>
  <dc:creator>Markus Dreis</dc:creator>
  <cp:lastModifiedBy>David Thomas</cp:lastModifiedBy>
  <cp:revision>2</cp:revision>
  <cp:lastPrinted>2012-10-22T16:15:00Z</cp:lastPrinted>
  <dcterms:created xsi:type="dcterms:W3CDTF">2017-01-18T08:51:00Z</dcterms:created>
  <dcterms:modified xsi:type="dcterms:W3CDTF">2017-01-18T08:51:00Z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