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3D" w:rsidRDefault="00B363C8" w:rsidP="007D3D04">
      <w:pPr>
        <w:pStyle w:val="Heading1"/>
        <w:spacing w:before="0"/>
        <w:rPr>
          <w:lang w:val="en-US"/>
        </w:rPr>
      </w:pPr>
      <w:r>
        <w:rPr>
          <w:lang w:val="en-US"/>
        </w:rPr>
        <w:t>C</w:t>
      </w:r>
      <w:r w:rsidRPr="00B363C8">
        <w:rPr>
          <w:lang w:val="en-US"/>
        </w:rPr>
        <w:t>ache in the cloud</w:t>
      </w:r>
      <w:r>
        <w:rPr>
          <w:lang w:val="en-US"/>
        </w:rPr>
        <w:t xml:space="preserve"> (Doc31)</w:t>
      </w:r>
    </w:p>
    <w:p w:rsidR="007D3D04" w:rsidRPr="007D3D04" w:rsidRDefault="007D3D04" w:rsidP="007D3D04">
      <w:pPr>
        <w:rPr>
          <w:lang w:val="en-US"/>
        </w:rPr>
      </w:pPr>
    </w:p>
    <w:p w:rsidR="00B363C8" w:rsidRDefault="00B363C8" w:rsidP="00B363C8">
      <w:pPr>
        <w:pStyle w:val="ListParagraph"/>
        <w:numPr>
          <w:ilvl w:val="1"/>
          <w:numId w:val="2"/>
        </w:numPr>
        <w:textAlignment w:val="baseline"/>
        <w:rPr>
          <w:color w:val="0070C0"/>
          <w:sz w:val="40"/>
        </w:rPr>
      </w:pPr>
      <w:r>
        <w:rPr>
          <w:rFonts w:ascii="Arial" w:eastAsia="Arial Unicode MS" w:hAnsi="Arial" w:cs="Arial Unicode MS"/>
          <w:color w:val="000000" w:themeColor="text1"/>
          <w:kern w:val="24"/>
          <w:sz w:val="40"/>
          <w:szCs w:val="40"/>
          <w:lang w:val="en-US"/>
        </w:rPr>
        <w:t xml:space="preserve">TT-GISC: </w:t>
      </w:r>
    </w:p>
    <w:p w:rsidR="00B363C8" w:rsidRPr="00B363C8" w:rsidRDefault="00B363C8" w:rsidP="00B363C8">
      <w:pPr>
        <w:pStyle w:val="ListParagraph"/>
        <w:numPr>
          <w:ilvl w:val="2"/>
          <w:numId w:val="2"/>
        </w:numPr>
        <w:textAlignment w:val="baseline"/>
        <w:rPr>
          <w:color w:val="000000" w:themeColor="text1"/>
        </w:rPr>
      </w:pPr>
      <w:r w:rsidRPr="00B363C8">
        <w:rPr>
          <w:rFonts w:ascii="Arial" w:eastAsia="Arial Unicode MS" w:hAnsi="Arial" w:cs="Arial Unicode MS"/>
          <w:color w:val="000000" w:themeColor="text1"/>
          <w:kern w:val="24"/>
          <w:lang w:val="en-US"/>
        </w:rPr>
        <w:t>The meeting expressed its appreciation to the ET-CTS and contributors, recognizing that the “cache in and through  the cloud” is a ve</w:t>
      </w:r>
      <w:bookmarkStart w:id="0" w:name="_GoBack"/>
      <w:bookmarkEnd w:id="0"/>
      <w:r w:rsidRPr="00B363C8">
        <w:rPr>
          <w:rFonts w:ascii="Arial" w:eastAsia="Arial Unicode MS" w:hAnsi="Arial" w:cs="Arial Unicode MS"/>
          <w:color w:val="000000" w:themeColor="text1"/>
          <w:kern w:val="24"/>
          <w:lang w:val="en-US"/>
        </w:rPr>
        <w:t>ry promising solution to obtain a shared and uniformed cache between all the GISCs</w:t>
      </w:r>
    </w:p>
    <w:p w:rsidR="00B363C8" w:rsidRPr="00B363C8" w:rsidRDefault="00B363C8" w:rsidP="00B363C8">
      <w:pPr>
        <w:pStyle w:val="ListParagraph"/>
        <w:numPr>
          <w:ilvl w:val="2"/>
          <w:numId w:val="2"/>
        </w:numPr>
        <w:textAlignment w:val="baseline"/>
        <w:rPr>
          <w:color w:val="000000" w:themeColor="text1"/>
        </w:rPr>
      </w:pPr>
      <w:r w:rsidRPr="00B363C8">
        <w:rPr>
          <w:rFonts w:ascii="Arial" w:eastAsia="Arial Unicode MS" w:hAnsi="Arial" w:cs="Arial Unicode MS"/>
          <w:color w:val="000000" w:themeColor="text1"/>
          <w:kern w:val="24"/>
          <w:lang w:val="en-US"/>
        </w:rPr>
        <w:t>It welcomed the participation of 13 GISCs and urges the two remaining to join the pilot, either directly or via a third party</w:t>
      </w:r>
    </w:p>
    <w:p w:rsidR="00B363C8" w:rsidRPr="00B363C8" w:rsidRDefault="00B363C8" w:rsidP="00B363C8">
      <w:pPr>
        <w:pStyle w:val="ListParagraph"/>
        <w:numPr>
          <w:ilvl w:val="2"/>
          <w:numId w:val="2"/>
        </w:numPr>
        <w:textAlignment w:val="baseline"/>
        <w:rPr>
          <w:color w:val="000000" w:themeColor="text1"/>
        </w:rPr>
      </w:pPr>
      <w:r w:rsidRPr="00B363C8">
        <w:rPr>
          <w:rFonts w:ascii="Arial" w:eastAsia="Arial Unicode MS" w:hAnsi="Arial" w:cs="Arial Unicode MS"/>
          <w:color w:val="000000" w:themeColor="text1"/>
          <w:kern w:val="24"/>
          <w:lang w:val="en-US"/>
        </w:rPr>
        <w:t>Supports the ET-CTS circulation of a questionnaire to assess the possibility of using this solution operationally</w:t>
      </w:r>
    </w:p>
    <w:p w:rsidR="00B363C8" w:rsidRPr="00B363C8" w:rsidRDefault="00B363C8" w:rsidP="00B363C8">
      <w:pPr>
        <w:pStyle w:val="ListParagraph"/>
        <w:numPr>
          <w:ilvl w:val="2"/>
          <w:numId w:val="2"/>
        </w:numPr>
        <w:textAlignment w:val="baseline"/>
        <w:rPr>
          <w:color w:val="000000" w:themeColor="text1"/>
        </w:rPr>
      </w:pPr>
      <w:r w:rsidRPr="00B363C8">
        <w:rPr>
          <w:rFonts w:ascii="Arial" w:eastAsia="Arial Unicode MS" w:hAnsi="Arial" w:cs="Arial Unicode MS"/>
          <w:color w:val="000000" w:themeColor="text1"/>
          <w:kern w:val="24"/>
          <w:lang w:val="en-US"/>
        </w:rPr>
        <w:t xml:space="preserve">Noting that the initial investigation is on technical issues, we will at some time need to address all the issues </w:t>
      </w:r>
      <w:proofErr w:type="gramStart"/>
      <w:r w:rsidRPr="00B363C8">
        <w:rPr>
          <w:rFonts w:ascii="Arial" w:eastAsia="Arial Unicode MS" w:hAnsi="Arial" w:cs="Arial Unicode MS"/>
          <w:color w:val="000000" w:themeColor="text1"/>
          <w:kern w:val="24"/>
          <w:lang w:val="en-US"/>
        </w:rPr>
        <w:t>raised</w:t>
      </w:r>
      <w:proofErr w:type="gramEnd"/>
      <w:r w:rsidRPr="00B363C8">
        <w:rPr>
          <w:rFonts w:ascii="Arial" w:eastAsia="Arial Unicode MS" w:hAnsi="Arial" w:cs="Arial Unicode MS"/>
          <w:color w:val="000000" w:themeColor="text1"/>
          <w:kern w:val="24"/>
          <w:lang w:val="en-US"/>
        </w:rPr>
        <w:t xml:space="preserve"> in the paper, such as who can manage, who will pay, etc. </w:t>
      </w:r>
    </w:p>
    <w:p w:rsidR="00B363C8" w:rsidRPr="00B363C8" w:rsidRDefault="00B363C8" w:rsidP="00B363C8">
      <w:pPr>
        <w:pStyle w:val="ListParagraph"/>
        <w:numPr>
          <w:ilvl w:val="2"/>
          <w:numId w:val="2"/>
        </w:numPr>
        <w:textAlignment w:val="baseline"/>
        <w:rPr>
          <w:color w:val="000000" w:themeColor="text1"/>
        </w:rPr>
      </w:pPr>
      <w:r w:rsidRPr="00B363C8">
        <w:rPr>
          <w:rFonts w:ascii="Arial" w:eastAsia="Arial Unicode MS" w:hAnsi="Arial" w:cs="Arial Unicode MS"/>
          <w:color w:val="000000" w:themeColor="text1"/>
          <w:kern w:val="24"/>
          <w:lang w:val="en-US"/>
        </w:rPr>
        <w:t>It further noted that if this project is to save money for GISCs, as hoped, operating costs will be a very important element for the pilot to identify, including exposure to suppliers’ payment and pricing structures, that is selecting the right provider for the job. These on the whole will be addressed at the next ET-CTS</w:t>
      </w:r>
    </w:p>
    <w:p w:rsidR="00B363C8" w:rsidRDefault="00B363C8"/>
    <w:sectPr w:rsidR="00B363C8" w:rsidSect="00B363C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58" w:rsidRDefault="00FD7B58" w:rsidP="00B363C8">
      <w:pPr>
        <w:spacing w:after="0" w:line="240" w:lineRule="auto"/>
      </w:pPr>
      <w:r>
        <w:separator/>
      </w:r>
    </w:p>
  </w:endnote>
  <w:endnote w:type="continuationSeparator" w:id="0">
    <w:p w:rsidR="00FD7B58" w:rsidRDefault="00FD7B58" w:rsidP="00B3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58" w:rsidRDefault="00FD7B58" w:rsidP="00B363C8">
      <w:pPr>
        <w:spacing w:after="0" w:line="240" w:lineRule="auto"/>
      </w:pPr>
      <w:r>
        <w:separator/>
      </w:r>
    </w:p>
  </w:footnote>
  <w:footnote w:type="continuationSeparator" w:id="0">
    <w:p w:rsidR="00FD7B58" w:rsidRDefault="00FD7B58" w:rsidP="00B36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bottomFromText="160" w:horzAnchor="margin" w:tblpY="-283"/>
      <w:tblW w:w="10080" w:type="dxa"/>
      <w:tblLayout w:type="fixed"/>
      <w:tblLook w:val="04A0" w:firstRow="1" w:lastRow="0" w:firstColumn="1" w:lastColumn="0" w:noHBand="0" w:noVBand="1"/>
    </w:tblPr>
    <w:tblGrid>
      <w:gridCol w:w="4549"/>
      <w:gridCol w:w="1680"/>
      <w:gridCol w:w="3851"/>
    </w:tblGrid>
    <w:tr w:rsidR="00B363C8" w:rsidTr="00D84FE3">
      <w:trPr>
        <w:cantSplit/>
        <w:trHeight w:val="1438"/>
      </w:trPr>
      <w:tc>
        <w:tcPr>
          <w:tcW w:w="4548" w:type="dxa"/>
          <w:vAlign w:val="center"/>
          <w:hideMark/>
        </w:tcPr>
        <w:p w:rsidR="00B363C8" w:rsidRDefault="00B363C8" w:rsidP="00D84FE3">
          <w:pPr>
            <w:shd w:val="clear" w:color="auto" w:fill="FFFFFF"/>
            <w:spacing w:after="180" w:line="256" w:lineRule="auto"/>
            <w:jc w:val="center"/>
            <w:outlineLvl w:val="1"/>
            <w:rPr>
              <w:rFonts w:ascii="Helvetica" w:hAnsi="Helvetica" w:cs="Helvetica"/>
              <w:b/>
              <w:bCs/>
              <w:sz w:val="28"/>
              <w:szCs w:val="28"/>
            </w:rPr>
          </w:pPr>
          <w:r>
            <w:rPr>
              <w:rFonts w:ascii="Times New Roman" w:hAnsi="Times New Roman" w:cs="Times New Roman"/>
              <w:b/>
              <w:bCs/>
              <w:sz w:val="28"/>
              <w:szCs w:val="28"/>
            </w:rPr>
            <w:t>WORLD WEATHER WATCH</w:t>
          </w:r>
          <w:r>
            <w:rPr>
              <w:rFonts w:ascii="Times New Roman" w:hAnsi="Times New Roman" w:cs="Times New Roman"/>
              <w:b/>
              <w:bCs/>
              <w:sz w:val="28"/>
              <w:szCs w:val="28"/>
            </w:rPr>
            <w:br/>
            <w:t>COMMISSION FOR BASIC SYSTEMS</w:t>
          </w:r>
        </w:p>
      </w:tc>
      <w:tc>
        <w:tcPr>
          <w:tcW w:w="5531" w:type="dxa"/>
          <w:gridSpan w:val="2"/>
          <w:tcMar>
            <w:top w:w="0" w:type="dxa"/>
            <w:left w:w="6" w:type="dxa"/>
            <w:bottom w:w="0" w:type="dxa"/>
            <w:right w:w="6" w:type="dxa"/>
          </w:tcMar>
          <w:hideMark/>
        </w:tcPr>
        <w:p w:rsidR="00B363C8" w:rsidRDefault="00B363C8" w:rsidP="00D84FE3">
          <w:pPr>
            <w:shd w:val="solid" w:color="FFFFFF" w:fill="FFFFFF"/>
            <w:spacing w:before="240" w:after="0" w:line="240" w:lineRule="atLeast"/>
          </w:pPr>
          <w:r>
            <w:object w:dxaOrig="549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3pt;height:56.3pt" o:ole="">
                <v:imagedata r:id="rId1" o:title=""/>
              </v:shape>
              <o:OLEObject Type="Embed" ProgID="PBrush" ShapeID="_x0000_i1025" DrawAspect="Content" ObjectID="_1506436237" r:id="rId2"/>
            </w:object>
          </w:r>
        </w:p>
      </w:tc>
    </w:tr>
    <w:tr w:rsidR="00B363C8" w:rsidTr="00D84FE3">
      <w:trPr>
        <w:cantSplit/>
      </w:trPr>
      <w:tc>
        <w:tcPr>
          <w:tcW w:w="6228" w:type="dxa"/>
          <w:gridSpan w:val="2"/>
          <w:tcBorders>
            <w:top w:val="single" w:sz="12" w:space="0" w:color="auto"/>
            <w:left w:val="nil"/>
            <w:bottom w:val="nil"/>
            <w:right w:val="nil"/>
          </w:tcBorders>
        </w:tcPr>
        <w:p w:rsidR="00B363C8" w:rsidRDefault="00B363C8" w:rsidP="00D84FE3">
          <w:pPr>
            <w:shd w:val="solid" w:color="FFFFFF" w:fill="FFFFFF"/>
            <w:spacing w:after="48" w:line="256" w:lineRule="auto"/>
            <w:rPr>
              <w:rFonts w:ascii="Verdana" w:hAnsi="Verdana" w:cs="Verdana"/>
            </w:rPr>
          </w:pPr>
        </w:p>
      </w:tc>
      <w:tc>
        <w:tcPr>
          <w:tcW w:w="3851" w:type="dxa"/>
          <w:tcBorders>
            <w:top w:val="single" w:sz="12" w:space="0" w:color="auto"/>
            <w:left w:val="nil"/>
            <w:bottom w:val="nil"/>
            <w:right w:val="nil"/>
          </w:tcBorders>
        </w:tcPr>
        <w:p w:rsidR="00B363C8" w:rsidRDefault="00B363C8" w:rsidP="00D84FE3">
          <w:pPr>
            <w:shd w:val="solid" w:color="FFFFFF" w:fill="FFFFFF"/>
            <w:spacing w:after="48" w:line="240" w:lineRule="atLeast"/>
          </w:pPr>
        </w:p>
      </w:tc>
    </w:tr>
    <w:tr w:rsidR="00B363C8" w:rsidTr="00D84FE3">
      <w:trPr>
        <w:cantSplit/>
        <w:trHeight w:val="312"/>
      </w:trPr>
      <w:tc>
        <w:tcPr>
          <w:tcW w:w="6228" w:type="dxa"/>
          <w:gridSpan w:val="2"/>
          <w:vMerge w:val="restart"/>
          <w:hideMark/>
        </w:tcPr>
        <w:p w:rsidR="00B363C8" w:rsidRDefault="00B363C8" w:rsidP="00D84FE3">
          <w:pPr>
            <w:shd w:val="solid" w:color="FFFFFF" w:fill="FFFFFF"/>
            <w:spacing w:after="240"/>
            <w:ind w:firstLine="36"/>
            <w:rPr>
              <w:rFonts w:ascii="Times New Roman" w:hAnsi="Times New Roman" w:cs="Times New Roman"/>
              <w:sz w:val="28"/>
              <w:szCs w:val="20"/>
            </w:rPr>
          </w:pPr>
          <w:r>
            <w:rPr>
              <w:rFonts w:ascii="Times New Roman" w:hAnsi="Times New Roman" w:cs="Times New Roman"/>
              <w:b/>
              <w:sz w:val="28"/>
              <w:szCs w:val="20"/>
            </w:rPr>
            <w:t>Expert Team on WIS Centres Task Team on GISCs (ET-WISC/TT-GISC)</w:t>
          </w:r>
          <w:r>
            <w:rPr>
              <w:rFonts w:ascii="Times New Roman" w:hAnsi="Times New Roman" w:cs="Times New Roman"/>
              <w:b/>
              <w:sz w:val="28"/>
              <w:szCs w:val="20"/>
            </w:rPr>
            <w:br/>
            <w:t>Brasilia, Brazil 13-16 October 2015</w:t>
          </w:r>
        </w:p>
        <w:p w:rsidR="00B363C8" w:rsidRDefault="00B363C8" w:rsidP="00D84FE3">
          <w:pPr>
            <w:shd w:val="solid" w:color="FFFFFF" w:fill="FFFFFF"/>
            <w:spacing w:after="240" w:line="256" w:lineRule="auto"/>
            <w:ind w:left="1134" w:hanging="1134"/>
            <w:rPr>
              <w:rFonts w:ascii="Verdana" w:hAnsi="Verdana" w:cs="Verdana"/>
              <w:sz w:val="36"/>
              <w:szCs w:val="20"/>
            </w:rPr>
          </w:pPr>
          <w:r>
            <w:rPr>
              <w:rFonts w:ascii="Times New Roman" w:hAnsi="Times New Roman" w:cs="Times New Roman"/>
              <w:b/>
              <w:sz w:val="28"/>
              <w:szCs w:val="20"/>
            </w:rPr>
            <w:t>Submitted by:</w:t>
          </w:r>
          <w:r>
            <w:rPr>
              <w:rFonts w:ascii="Times New Roman" w:hAnsi="Times New Roman" w:cs="Times New Roman"/>
              <w:sz w:val="28"/>
              <w:szCs w:val="20"/>
            </w:rPr>
            <w:t xml:space="preserve"> Chair</w:t>
          </w:r>
        </w:p>
      </w:tc>
      <w:tc>
        <w:tcPr>
          <w:tcW w:w="3851" w:type="dxa"/>
          <w:hideMark/>
        </w:tcPr>
        <w:p w:rsidR="00B363C8" w:rsidRDefault="00B363C8" w:rsidP="00B363C8">
          <w:pPr>
            <w:shd w:val="solid" w:color="FFFFFF" w:fill="FFFFFF"/>
            <w:spacing w:line="240" w:lineRule="atLeast"/>
            <w:rPr>
              <w:rFonts w:ascii="Times New Roman" w:hAnsi="Times New Roman" w:cs="Times New Roman"/>
              <w:sz w:val="28"/>
              <w:szCs w:val="20"/>
              <w:lang w:val="fr-CH" w:eastAsia="zh-CN"/>
            </w:rPr>
          </w:pPr>
          <w:r>
            <w:rPr>
              <w:rFonts w:ascii="Times New Roman" w:hAnsi="Times New Roman" w:cs="Times New Roman"/>
              <w:b/>
              <w:bCs/>
              <w:sz w:val="28"/>
              <w:szCs w:val="20"/>
              <w:lang w:val="fr-CH" w:eastAsia="zh-CN"/>
            </w:rPr>
            <w:t>TT-GISC/2015-</w:t>
          </w:r>
          <w:proofErr w:type="gramStart"/>
          <w:r>
            <w:rPr>
              <w:rFonts w:ascii="Times New Roman" w:hAnsi="Times New Roman" w:cs="Times New Roman"/>
              <w:b/>
              <w:bCs/>
              <w:sz w:val="28"/>
              <w:szCs w:val="20"/>
              <w:lang w:val="fr-CH" w:eastAsia="zh-CN"/>
            </w:rPr>
            <w:t>WDoc[</w:t>
          </w:r>
          <w:proofErr w:type="gramEnd"/>
          <w:r>
            <w:rPr>
              <w:rFonts w:ascii="Times New Roman" w:hAnsi="Times New Roman" w:cs="Times New Roman"/>
              <w:b/>
              <w:bCs/>
              <w:sz w:val="28"/>
              <w:szCs w:val="20"/>
              <w:lang w:val="fr-CH" w:eastAsia="zh-CN"/>
            </w:rPr>
            <w:t>10]</w:t>
          </w:r>
          <w:r>
            <w:rPr>
              <w:rFonts w:ascii="Times New Roman" w:hAnsi="Times New Roman" w:cs="Times New Roman"/>
              <w:b/>
              <w:bCs/>
              <w:sz w:val="28"/>
              <w:szCs w:val="20"/>
              <w:lang w:val="fr-CH" w:eastAsia="zh-CN"/>
            </w:rPr>
            <w:br/>
            <w:t>Agenda Item [6.1.1]</w:t>
          </w:r>
        </w:p>
      </w:tc>
    </w:tr>
    <w:tr w:rsidR="00B363C8" w:rsidTr="00D84FE3">
      <w:trPr>
        <w:cantSplit/>
        <w:trHeight w:val="81"/>
      </w:trPr>
      <w:tc>
        <w:tcPr>
          <w:tcW w:w="11759" w:type="dxa"/>
          <w:gridSpan w:val="2"/>
          <w:vMerge/>
          <w:vAlign w:val="center"/>
          <w:hideMark/>
        </w:tcPr>
        <w:p w:rsidR="00B363C8" w:rsidRDefault="00B363C8" w:rsidP="00D84FE3">
          <w:pPr>
            <w:spacing w:after="0" w:line="240" w:lineRule="auto"/>
            <w:rPr>
              <w:rFonts w:ascii="Verdana" w:hAnsi="Verdana" w:cs="Verdana"/>
              <w:sz w:val="36"/>
              <w:szCs w:val="20"/>
            </w:rPr>
          </w:pPr>
        </w:p>
      </w:tc>
      <w:tc>
        <w:tcPr>
          <w:tcW w:w="3851" w:type="dxa"/>
          <w:hideMark/>
        </w:tcPr>
        <w:p w:rsidR="00B363C8" w:rsidRDefault="00B363C8" w:rsidP="00D84FE3">
          <w:pPr>
            <w:shd w:val="solid" w:color="FFFFFF" w:fill="FFFFFF"/>
            <w:tabs>
              <w:tab w:val="left" w:pos="2859"/>
            </w:tabs>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15 October 2015</w:t>
          </w:r>
          <w:r>
            <w:rPr>
              <w:rFonts w:ascii="Times New Roman" w:hAnsi="Times New Roman" w:cs="Times New Roman"/>
              <w:b/>
              <w:bCs/>
              <w:sz w:val="28"/>
              <w:szCs w:val="20"/>
              <w:lang w:eastAsia="zh-CN"/>
            </w:rPr>
            <w:tab/>
          </w:r>
        </w:p>
      </w:tc>
    </w:tr>
  </w:tbl>
  <w:p w:rsidR="00B363C8" w:rsidRDefault="00B36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F1095"/>
    <w:multiLevelType w:val="hybridMultilevel"/>
    <w:tmpl w:val="A24E3DAA"/>
    <w:lvl w:ilvl="0" w:tplc="FE8CE334">
      <w:start w:val="1"/>
      <w:numFmt w:val="bullet"/>
      <w:lvlText w:val=""/>
      <w:lvlJc w:val="left"/>
      <w:pPr>
        <w:tabs>
          <w:tab w:val="num" w:pos="720"/>
        </w:tabs>
        <w:ind w:left="720" w:hanging="360"/>
      </w:pPr>
      <w:rPr>
        <w:rFonts w:ascii="Wingdings" w:hAnsi="Wingdings" w:hint="default"/>
      </w:rPr>
    </w:lvl>
    <w:lvl w:ilvl="1" w:tplc="FC6EA520">
      <w:start w:val="1"/>
      <w:numFmt w:val="bullet"/>
      <w:lvlText w:val=""/>
      <w:lvlJc w:val="left"/>
      <w:pPr>
        <w:tabs>
          <w:tab w:val="num" w:pos="1440"/>
        </w:tabs>
        <w:ind w:left="1440" w:hanging="360"/>
      </w:pPr>
      <w:rPr>
        <w:rFonts w:ascii="Wingdings" w:hAnsi="Wingdings" w:hint="default"/>
      </w:rPr>
    </w:lvl>
    <w:lvl w:ilvl="2" w:tplc="2A1E468A">
      <w:start w:val="2557"/>
      <w:numFmt w:val="bullet"/>
      <w:lvlText w:val="o"/>
      <w:lvlJc w:val="left"/>
      <w:pPr>
        <w:tabs>
          <w:tab w:val="num" w:pos="2160"/>
        </w:tabs>
        <w:ind w:left="2160" w:hanging="360"/>
      </w:pPr>
      <w:rPr>
        <w:rFonts w:ascii="Times New Roman" w:hAnsi="Times New Roman" w:hint="default"/>
      </w:rPr>
    </w:lvl>
    <w:lvl w:ilvl="3" w:tplc="A03A83D4" w:tentative="1">
      <w:start w:val="1"/>
      <w:numFmt w:val="bullet"/>
      <w:lvlText w:val=""/>
      <w:lvlJc w:val="left"/>
      <w:pPr>
        <w:tabs>
          <w:tab w:val="num" w:pos="2880"/>
        </w:tabs>
        <w:ind w:left="2880" w:hanging="360"/>
      </w:pPr>
      <w:rPr>
        <w:rFonts w:ascii="Wingdings" w:hAnsi="Wingdings" w:hint="default"/>
      </w:rPr>
    </w:lvl>
    <w:lvl w:ilvl="4" w:tplc="0128924C" w:tentative="1">
      <w:start w:val="1"/>
      <w:numFmt w:val="bullet"/>
      <w:lvlText w:val=""/>
      <w:lvlJc w:val="left"/>
      <w:pPr>
        <w:tabs>
          <w:tab w:val="num" w:pos="3600"/>
        </w:tabs>
        <w:ind w:left="3600" w:hanging="360"/>
      </w:pPr>
      <w:rPr>
        <w:rFonts w:ascii="Wingdings" w:hAnsi="Wingdings" w:hint="default"/>
      </w:rPr>
    </w:lvl>
    <w:lvl w:ilvl="5" w:tplc="F272BC4E" w:tentative="1">
      <w:start w:val="1"/>
      <w:numFmt w:val="bullet"/>
      <w:lvlText w:val=""/>
      <w:lvlJc w:val="left"/>
      <w:pPr>
        <w:tabs>
          <w:tab w:val="num" w:pos="4320"/>
        </w:tabs>
        <w:ind w:left="4320" w:hanging="360"/>
      </w:pPr>
      <w:rPr>
        <w:rFonts w:ascii="Wingdings" w:hAnsi="Wingdings" w:hint="default"/>
      </w:rPr>
    </w:lvl>
    <w:lvl w:ilvl="6" w:tplc="6F6616C8" w:tentative="1">
      <w:start w:val="1"/>
      <w:numFmt w:val="bullet"/>
      <w:lvlText w:val=""/>
      <w:lvlJc w:val="left"/>
      <w:pPr>
        <w:tabs>
          <w:tab w:val="num" w:pos="5040"/>
        </w:tabs>
        <w:ind w:left="5040" w:hanging="360"/>
      </w:pPr>
      <w:rPr>
        <w:rFonts w:ascii="Wingdings" w:hAnsi="Wingdings" w:hint="default"/>
      </w:rPr>
    </w:lvl>
    <w:lvl w:ilvl="7" w:tplc="70144B70" w:tentative="1">
      <w:start w:val="1"/>
      <w:numFmt w:val="bullet"/>
      <w:lvlText w:val=""/>
      <w:lvlJc w:val="left"/>
      <w:pPr>
        <w:tabs>
          <w:tab w:val="num" w:pos="5760"/>
        </w:tabs>
        <w:ind w:left="5760" w:hanging="360"/>
      </w:pPr>
      <w:rPr>
        <w:rFonts w:ascii="Wingdings" w:hAnsi="Wingdings" w:hint="default"/>
      </w:rPr>
    </w:lvl>
    <w:lvl w:ilvl="8" w:tplc="83FCDFA8" w:tentative="1">
      <w:start w:val="1"/>
      <w:numFmt w:val="bullet"/>
      <w:lvlText w:val=""/>
      <w:lvlJc w:val="left"/>
      <w:pPr>
        <w:tabs>
          <w:tab w:val="num" w:pos="6480"/>
        </w:tabs>
        <w:ind w:left="6480" w:hanging="360"/>
      </w:pPr>
      <w:rPr>
        <w:rFonts w:ascii="Wingdings" w:hAnsi="Wingdings" w:hint="default"/>
      </w:rPr>
    </w:lvl>
  </w:abstractNum>
  <w:abstractNum w:abstractNumId="1">
    <w:nsid w:val="7B956018"/>
    <w:multiLevelType w:val="hybridMultilevel"/>
    <w:tmpl w:val="8C88AEA6"/>
    <w:lvl w:ilvl="0" w:tplc="B34611EE">
      <w:start w:val="1"/>
      <w:numFmt w:val="bullet"/>
      <w:lvlText w:val=""/>
      <w:lvlJc w:val="left"/>
      <w:pPr>
        <w:tabs>
          <w:tab w:val="num" w:pos="720"/>
        </w:tabs>
        <w:ind w:left="720" w:hanging="360"/>
      </w:pPr>
      <w:rPr>
        <w:rFonts w:ascii="Wingdings" w:hAnsi="Wingdings" w:hint="default"/>
      </w:rPr>
    </w:lvl>
    <w:lvl w:ilvl="1" w:tplc="1E2AACC4">
      <w:start w:val="1"/>
      <w:numFmt w:val="bullet"/>
      <w:lvlText w:val=""/>
      <w:lvlJc w:val="left"/>
      <w:pPr>
        <w:tabs>
          <w:tab w:val="num" w:pos="1440"/>
        </w:tabs>
        <w:ind w:left="1440" w:hanging="360"/>
      </w:pPr>
      <w:rPr>
        <w:rFonts w:ascii="Wingdings" w:hAnsi="Wingdings" w:hint="default"/>
      </w:rPr>
    </w:lvl>
    <w:lvl w:ilvl="2" w:tplc="4F8E5E56">
      <w:start w:val="1682"/>
      <w:numFmt w:val="bullet"/>
      <w:lvlText w:val="o"/>
      <w:lvlJc w:val="left"/>
      <w:pPr>
        <w:tabs>
          <w:tab w:val="num" w:pos="2160"/>
        </w:tabs>
        <w:ind w:left="2160" w:hanging="360"/>
      </w:pPr>
      <w:rPr>
        <w:rFonts w:ascii="Times New Roman" w:hAnsi="Times New Roman" w:hint="default"/>
      </w:rPr>
    </w:lvl>
    <w:lvl w:ilvl="3" w:tplc="94223FB4" w:tentative="1">
      <w:start w:val="1"/>
      <w:numFmt w:val="bullet"/>
      <w:lvlText w:val=""/>
      <w:lvlJc w:val="left"/>
      <w:pPr>
        <w:tabs>
          <w:tab w:val="num" w:pos="2880"/>
        </w:tabs>
        <w:ind w:left="2880" w:hanging="360"/>
      </w:pPr>
      <w:rPr>
        <w:rFonts w:ascii="Wingdings" w:hAnsi="Wingdings" w:hint="default"/>
      </w:rPr>
    </w:lvl>
    <w:lvl w:ilvl="4" w:tplc="2EB41676" w:tentative="1">
      <w:start w:val="1"/>
      <w:numFmt w:val="bullet"/>
      <w:lvlText w:val=""/>
      <w:lvlJc w:val="left"/>
      <w:pPr>
        <w:tabs>
          <w:tab w:val="num" w:pos="3600"/>
        </w:tabs>
        <w:ind w:left="3600" w:hanging="360"/>
      </w:pPr>
      <w:rPr>
        <w:rFonts w:ascii="Wingdings" w:hAnsi="Wingdings" w:hint="default"/>
      </w:rPr>
    </w:lvl>
    <w:lvl w:ilvl="5" w:tplc="1812B42C" w:tentative="1">
      <w:start w:val="1"/>
      <w:numFmt w:val="bullet"/>
      <w:lvlText w:val=""/>
      <w:lvlJc w:val="left"/>
      <w:pPr>
        <w:tabs>
          <w:tab w:val="num" w:pos="4320"/>
        </w:tabs>
        <w:ind w:left="4320" w:hanging="360"/>
      </w:pPr>
      <w:rPr>
        <w:rFonts w:ascii="Wingdings" w:hAnsi="Wingdings" w:hint="default"/>
      </w:rPr>
    </w:lvl>
    <w:lvl w:ilvl="6" w:tplc="8530FC0C" w:tentative="1">
      <w:start w:val="1"/>
      <w:numFmt w:val="bullet"/>
      <w:lvlText w:val=""/>
      <w:lvlJc w:val="left"/>
      <w:pPr>
        <w:tabs>
          <w:tab w:val="num" w:pos="5040"/>
        </w:tabs>
        <w:ind w:left="5040" w:hanging="360"/>
      </w:pPr>
      <w:rPr>
        <w:rFonts w:ascii="Wingdings" w:hAnsi="Wingdings" w:hint="default"/>
      </w:rPr>
    </w:lvl>
    <w:lvl w:ilvl="7" w:tplc="22AC961E" w:tentative="1">
      <w:start w:val="1"/>
      <w:numFmt w:val="bullet"/>
      <w:lvlText w:val=""/>
      <w:lvlJc w:val="left"/>
      <w:pPr>
        <w:tabs>
          <w:tab w:val="num" w:pos="5760"/>
        </w:tabs>
        <w:ind w:left="5760" w:hanging="360"/>
      </w:pPr>
      <w:rPr>
        <w:rFonts w:ascii="Wingdings" w:hAnsi="Wingdings" w:hint="default"/>
      </w:rPr>
    </w:lvl>
    <w:lvl w:ilvl="8" w:tplc="98C8B5B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F5"/>
    <w:rsid w:val="000040F5"/>
    <w:rsid w:val="0012143D"/>
    <w:rsid w:val="00396DEF"/>
    <w:rsid w:val="007D3D04"/>
    <w:rsid w:val="00B363C8"/>
    <w:rsid w:val="00FD7B5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6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C8"/>
  </w:style>
  <w:style w:type="paragraph" w:styleId="Footer">
    <w:name w:val="footer"/>
    <w:basedOn w:val="Normal"/>
    <w:link w:val="FooterChar"/>
    <w:uiPriority w:val="99"/>
    <w:unhideWhenUsed/>
    <w:rsid w:val="00B36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C8"/>
  </w:style>
  <w:style w:type="paragraph" w:styleId="ListParagraph">
    <w:name w:val="List Paragraph"/>
    <w:basedOn w:val="Normal"/>
    <w:uiPriority w:val="34"/>
    <w:qFormat/>
    <w:rsid w:val="00B363C8"/>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363C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6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C8"/>
  </w:style>
  <w:style w:type="paragraph" w:styleId="Footer">
    <w:name w:val="footer"/>
    <w:basedOn w:val="Normal"/>
    <w:link w:val="FooterChar"/>
    <w:uiPriority w:val="99"/>
    <w:unhideWhenUsed/>
    <w:rsid w:val="00B36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C8"/>
  </w:style>
  <w:style w:type="paragraph" w:styleId="ListParagraph">
    <w:name w:val="List Paragraph"/>
    <w:basedOn w:val="Normal"/>
    <w:uiPriority w:val="34"/>
    <w:qFormat/>
    <w:rsid w:val="00B363C8"/>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363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7300">
      <w:bodyDiv w:val="1"/>
      <w:marLeft w:val="0"/>
      <w:marRight w:val="0"/>
      <w:marTop w:val="0"/>
      <w:marBottom w:val="0"/>
      <w:divBdr>
        <w:top w:val="none" w:sz="0" w:space="0" w:color="auto"/>
        <w:left w:val="none" w:sz="0" w:space="0" w:color="auto"/>
        <w:bottom w:val="none" w:sz="0" w:space="0" w:color="auto"/>
        <w:right w:val="none" w:sz="0" w:space="0" w:color="auto"/>
      </w:divBdr>
      <w:divsChild>
        <w:div w:id="779372904">
          <w:marLeft w:val="720"/>
          <w:marRight w:val="0"/>
          <w:marTop w:val="140"/>
          <w:marBottom w:val="0"/>
          <w:divBdr>
            <w:top w:val="none" w:sz="0" w:space="0" w:color="auto"/>
            <w:left w:val="none" w:sz="0" w:space="0" w:color="auto"/>
            <w:bottom w:val="none" w:sz="0" w:space="0" w:color="auto"/>
            <w:right w:val="none" w:sz="0" w:space="0" w:color="auto"/>
          </w:divBdr>
        </w:div>
        <w:div w:id="2142334119">
          <w:marLeft w:val="1800"/>
          <w:marRight w:val="0"/>
          <w:marTop w:val="120"/>
          <w:marBottom w:val="0"/>
          <w:divBdr>
            <w:top w:val="none" w:sz="0" w:space="0" w:color="auto"/>
            <w:left w:val="none" w:sz="0" w:space="0" w:color="auto"/>
            <w:bottom w:val="none" w:sz="0" w:space="0" w:color="auto"/>
            <w:right w:val="none" w:sz="0" w:space="0" w:color="auto"/>
          </w:divBdr>
        </w:div>
        <w:div w:id="1485049828">
          <w:marLeft w:val="1800"/>
          <w:marRight w:val="0"/>
          <w:marTop w:val="120"/>
          <w:marBottom w:val="0"/>
          <w:divBdr>
            <w:top w:val="none" w:sz="0" w:space="0" w:color="auto"/>
            <w:left w:val="none" w:sz="0" w:space="0" w:color="auto"/>
            <w:bottom w:val="none" w:sz="0" w:space="0" w:color="auto"/>
            <w:right w:val="none" w:sz="0" w:space="0" w:color="auto"/>
          </w:divBdr>
        </w:div>
        <w:div w:id="1793009799">
          <w:marLeft w:val="1800"/>
          <w:marRight w:val="0"/>
          <w:marTop w:val="120"/>
          <w:marBottom w:val="0"/>
          <w:divBdr>
            <w:top w:val="none" w:sz="0" w:space="0" w:color="auto"/>
            <w:left w:val="none" w:sz="0" w:space="0" w:color="auto"/>
            <w:bottom w:val="none" w:sz="0" w:space="0" w:color="auto"/>
            <w:right w:val="none" w:sz="0" w:space="0" w:color="auto"/>
          </w:divBdr>
        </w:div>
        <w:div w:id="355545766">
          <w:marLeft w:val="1800"/>
          <w:marRight w:val="0"/>
          <w:marTop w:val="120"/>
          <w:marBottom w:val="0"/>
          <w:divBdr>
            <w:top w:val="none" w:sz="0" w:space="0" w:color="auto"/>
            <w:left w:val="none" w:sz="0" w:space="0" w:color="auto"/>
            <w:bottom w:val="none" w:sz="0" w:space="0" w:color="auto"/>
            <w:right w:val="none" w:sz="0" w:space="0" w:color="auto"/>
          </w:divBdr>
        </w:div>
        <w:div w:id="406612172">
          <w:marLeft w:val="1800"/>
          <w:marRight w:val="0"/>
          <w:marTop w:val="120"/>
          <w:marBottom w:val="0"/>
          <w:divBdr>
            <w:top w:val="none" w:sz="0" w:space="0" w:color="auto"/>
            <w:left w:val="none" w:sz="0" w:space="0" w:color="auto"/>
            <w:bottom w:val="none" w:sz="0" w:space="0" w:color="auto"/>
            <w:right w:val="none" w:sz="0" w:space="0" w:color="auto"/>
          </w:divBdr>
        </w:div>
      </w:divsChild>
    </w:div>
    <w:div w:id="938298098">
      <w:bodyDiv w:val="1"/>
      <w:marLeft w:val="0"/>
      <w:marRight w:val="0"/>
      <w:marTop w:val="0"/>
      <w:marBottom w:val="0"/>
      <w:divBdr>
        <w:top w:val="none" w:sz="0" w:space="0" w:color="auto"/>
        <w:left w:val="none" w:sz="0" w:space="0" w:color="auto"/>
        <w:bottom w:val="none" w:sz="0" w:space="0" w:color="auto"/>
        <w:right w:val="none" w:sz="0" w:space="0" w:color="auto"/>
      </w:divBdr>
      <w:divsChild>
        <w:div w:id="1485273322">
          <w:marLeft w:val="720"/>
          <w:marRight w:val="0"/>
          <w:marTop w:val="140"/>
          <w:marBottom w:val="0"/>
          <w:divBdr>
            <w:top w:val="none" w:sz="0" w:space="0" w:color="auto"/>
            <w:left w:val="none" w:sz="0" w:space="0" w:color="auto"/>
            <w:bottom w:val="none" w:sz="0" w:space="0" w:color="auto"/>
            <w:right w:val="none" w:sz="0" w:space="0" w:color="auto"/>
          </w:divBdr>
        </w:div>
        <w:div w:id="1364284957">
          <w:marLeft w:val="1800"/>
          <w:marRight w:val="0"/>
          <w:marTop w:val="120"/>
          <w:marBottom w:val="0"/>
          <w:divBdr>
            <w:top w:val="none" w:sz="0" w:space="0" w:color="auto"/>
            <w:left w:val="none" w:sz="0" w:space="0" w:color="auto"/>
            <w:bottom w:val="none" w:sz="0" w:space="0" w:color="auto"/>
            <w:right w:val="none" w:sz="0" w:space="0" w:color="auto"/>
          </w:divBdr>
        </w:div>
        <w:div w:id="1917980845">
          <w:marLeft w:val="1800"/>
          <w:marRight w:val="0"/>
          <w:marTop w:val="120"/>
          <w:marBottom w:val="0"/>
          <w:divBdr>
            <w:top w:val="none" w:sz="0" w:space="0" w:color="auto"/>
            <w:left w:val="none" w:sz="0" w:space="0" w:color="auto"/>
            <w:bottom w:val="none" w:sz="0" w:space="0" w:color="auto"/>
            <w:right w:val="none" w:sz="0" w:space="0" w:color="auto"/>
          </w:divBdr>
        </w:div>
        <w:div w:id="1323435136">
          <w:marLeft w:val="1800"/>
          <w:marRight w:val="0"/>
          <w:marTop w:val="120"/>
          <w:marBottom w:val="0"/>
          <w:divBdr>
            <w:top w:val="none" w:sz="0" w:space="0" w:color="auto"/>
            <w:left w:val="none" w:sz="0" w:space="0" w:color="auto"/>
            <w:bottom w:val="none" w:sz="0" w:space="0" w:color="auto"/>
            <w:right w:val="none" w:sz="0" w:space="0" w:color="auto"/>
          </w:divBdr>
        </w:div>
        <w:div w:id="1616861965">
          <w:marLeft w:val="1800"/>
          <w:marRight w:val="0"/>
          <w:marTop w:val="120"/>
          <w:marBottom w:val="0"/>
          <w:divBdr>
            <w:top w:val="none" w:sz="0" w:space="0" w:color="auto"/>
            <w:left w:val="none" w:sz="0" w:space="0" w:color="auto"/>
            <w:bottom w:val="none" w:sz="0" w:space="0" w:color="auto"/>
            <w:right w:val="none" w:sz="0" w:space="0" w:color="auto"/>
          </w:divBdr>
        </w:div>
        <w:div w:id="940842665">
          <w:marLeft w:val="1800"/>
          <w:marRight w:val="0"/>
          <w:marTop w:val="120"/>
          <w:marBottom w:val="0"/>
          <w:divBdr>
            <w:top w:val="none" w:sz="0" w:space="0" w:color="auto"/>
            <w:left w:val="none" w:sz="0" w:space="0" w:color="auto"/>
            <w:bottom w:val="none" w:sz="0" w:space="0" w:color="auto"/>
            <w:right w:val="none" w:sz="0" w:space="0" w:color="auto"/>
          </w:divBdr>
        </w:div>
      </w:divsChild>
    </w:div>
    <w:div w:id="1338145954">
      <w:bodyDiv w:val="1"/>
      <w:marLeft w:val="0"/>
      <w:marRight w:val="0"/>
      <w:marTop w:val="0"/>
      <w:marBottom w:val="0"/>
      <w:divBdr>
        <w:top w:val="none" w:sz="0" w:space="0" w:color="auto"/>
        <w:left w:val="none" w:sz="0" w:space="0" w:color="auto"/>
        <w:bottom w:val="none" w:sz="0" w:space="0" w:color="auto"/>
        <w:right w:val="none" w:sz="0" w:space="0" w:color="auto"/>
      </w:divBdr>
      <w:divsChild>
        <w:div w:id="24402763">
          <w:marLeft w:val="720"/>
          <w:marRight w:val="0"/>
          <w:marTop w:val="140"/>
          <w:marBottom w:val="0"/>
          <w:divBdr>
            <w:top w:val="none" w:sz="0" w:space="0" w:color="auto"/>
            <w:left w:val="none" w:sz="0" w:space="0" w:color="auto"/>
            <w:bottom w:val="none" w:sz="0" w:space="0" w:color="auto"/>
            <w:right w:val="none" w:sz="0" w:space="0" w:color="auto"/>
          </w:divBdr>
        </w:div>
        <w:div w:id="1288968087">
          <w:marLeft w:val="1800"/>
          <w:marRight w:val="0"/>
          <w:marTop w:val="120"/>
          <w:marBottom w:val="0"/>
          <w:divBdr>
            <w:top w:val="none" w:sz="0" w:space="0" w:color="auto"/>
            <w:left w:val="none" w:sz="0" w:space="0" w:color="auto"/>
            <w:bottom w:val="none" w:sz="0" w:space="0" w:color="auto"/>
            <w:right w:val="none" w:sz="0" w:space="0" w:color="auto"/>
          </w:divBdr>
        </w:div>
        <w:div w:id="1677880102">
          <w:marLeft w:val="1800"/>
          <w:marRight w:val="0"/>
          <w:marTop w:val="120"/>
          <w:marBottom w:val="0"/>
          <w:divBdr>
            <w:top w:val="none" w:sz="0" w:space="0" w:color="auto"/>
            <w:left w:val="none" w:sz="0" w:space="0" w:color="auto"/>
            <w:bottom w:val="none" w:sz="0" w:space="0" w:color="auto"/>
            <w:right w:val="none" w:sz="0" w:space="0" w:color="auto"/>
          </w:divBdr>
        </w:div>
        <w:div w:id="1587956979">
          <w:marLeft w:val="1800"/>
          <w:marRight w:val="0"/>
          <w:marTop w:val="120"/>
          <w:marBottom w:val="0"/>
          <w:divBdr>
            <w:top w:val="none" w:sz="0" w:space="0" w:color="auto"/>
            <w:left w:val="none" w:sz="0" w:space="0" w:color="auto"/>
            <w:bottom w:val="none" w:sz="0" w:space="0" w:color="auto"/>
            <w:right w:val="none" w:sz="0" w:space="0" w:color="auto"/>
          </w:divBdr>
        </w:div>
        <w:div w:id="1554730530">
          <w:marLeft w:val="1800"/>
          <w:marRight w:val="0"/>
          <w:marTop w:val="120"/>
          <w:marBottom w:val="0"/>
          <w:divBdr>
            <w:top w:val="none" w:sz="0" w:space="0" w:color="auto"/>
            <w:left w:val="none" w:sz="0" w:space="0" w:color="auto"/>
            <w:bottom w:val="none" w:sz="0" w:space="0" w:color="auto"/>
            <w:right w:val="none" w:sz="0" w:space="0" w:color="auto"/>
          </w:divBdr>
        </w:div>
        <w:div w:id="1875338769">
          <w:marLeft w:val="180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67C4F-ED28-4FD0-AA27-8A2D598841B6}"/>
</file>

<file path=customXml/itemProps2.xml><?xml version="1.0" encoding="utf-8"?>
<ds:datastoreItem xmlns:ds="http://schemas.openxmlformats.org/officeDocument/2006/customXml" ds:itemID="{1DAD22FC-E5E1-4E1E-BB58-74880B036275}"/>
</file>

<file path=customXml/itemProps3.xml><?xml version="1.0" encoding="utf-8"?>
<ds:datastoreItem xmlns:ds="http://schemas.openxmlformats.org/officeDocument/2006/customXml" ds:itemID="{D8357267-8981-496A-A3EC-7DEB7DD409E7}"/>
</file>

<file path=docProps/app.xml><?xml version="1.0" encoding="utf-8"?>
<Properties xmlns="http://schemas.openxmlformats.org/officeDocument/2006/extended-properties" xmlns:vt="http://schemas.openxmlformats.org/officeDocument/2006/docPropsVTypes">
  <Template>Normal.dotm</Template>
  <TotalTime>7</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WMO</dc:creator>
  <cp:keywords/>
  <dc:description/>
  <cp:lastModifiedBy>WMO</cp:lastModifiedBy>
  <cp:revision>3</cp:revision>
  <dcterms:created xsi:type="dcterms:W3CDTF">2015-10-15T15:08:00Z</dcterms:created>
  <dcterms:modified xsi:type="dcterms:W3CDTF">2015-10-15T15:44:00Z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