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5028"/>
        <w:gridCol w:w="960"/>
        <w:gridCol w:w="240"/>
        <w:gridCol w:w="3803"/>
      </w:tblGrid>
      <w:tr w:rsidR="002104E5" w:rsidRPr="00812884">
        <w:trPr>
          <w:cantSplit/>
        </w:trPr>
        <w:tc>
          <w:tcPr>
            <w:tcW w:w="5028" w:type="dxa"/>
            <w:vAlign w:val="center"/>
          </w:tcPr>
          <w:p w:rsidR="002104E5" w:rsidRPr="00FF7038" w:rsidRDefault="002104E5" w:rsidP="009E6BD8">
            <w:pPr>
              <w:shd w:val="clear" w:color="auto" w:fill="FFFFFF"/>
              <w:spacing w:before="120" w:beforeAutospacing="0" w:after="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2104E5" w:rsidRPr="00683FE2" w:rsidRDefault="002104E5" w:rsidP="008579FC">
            <w:pPr>
              <w:shd w:val="clear" w:color="auto" w:fill="FFFFFF"/>
              <w:spacing w:before="120" w:beforeAutospacing="0" w:after="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003" w:type="dxa"/>
            <w:gridSpan w:val="3"/>
            <w:vAlign w:val="center"/>
          </w:tcPr>
          <w:p w:rsidR="002104E5" w:rsidRPr="00812884" w:rsidRDefault="002104E5" w:rsidP="009E6BD8">
            <w:pPr>
              <w:shd w:val="solid" w:color="FFFFFF" w:fill="FFFFFF"/>
              <w:spacing w:line="240" w:lineRule="atLeast"/>
              <w:jc w:val="center"/>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48.85pt" o:ole="">
                  <v:imagedata r:id="rId8" o:title=""/>
                </v:shape>
                <o:OLEObject Type="Embed" ProgID="PBrush" ShapeID="_x0000_i1025" DrawAspect="Content" ObjectID="_1504243564" r:id="rId9"/>
              </w:object>
            </w:r>
          </w:p>
        </w:tc>
      </w:tr>
      <w:tr w:rsidR="002104E5" w:rsidRPr="00812884">
        <w:trPr>
          <w:cantSplit/>
        </w:trPr>
        <w:tc>
          <w:tcPr>
            <w:tcW w:w="6228" w:type="dxa"/>
            <w:gridSpan w:val="3"/>
            <w:tcBorders>
              <w:top w:val="single" w:sz="12" w:space="0" w:color="auto"/>
            </w:tcBorders>
          </w:tcPr>
          <w:p w:rsidR="002104E5" w:rsidRPr="00812884" w:rsidRDefault="002104E5" w:rsidP="00082939">
            <w:pPr>
              <w:shd w:val="solid" w:color="FFFFFF" w:fill="FFFFFF"/>
              <w:spacing w:after="48"/>
              <w:rPr>
                <w:rFonts w:ascii="Verdana" w:hAnsi="Verdana" w:cs="Verdana"/>
              </w:rPr>
            </w:pPr>
          </w:p>
        </w:tc>
        <w:tc>
          <w:tcPr>
            <w:tcW w:w="3803" w:type="dxa"/>
            <w:tcBorders>
              <w:top w:val="single" w:sz="12" w:space="0" w:color="auto"/>
            </w:tcBorders>
          </w:tcPr>
          <w:p w:rsidR="002104E5" w:rsidRPr="00812884" w:rsidRDefault="002104E5" w:rsidP="00082939">
            <w:pPr>
              <w:shd w:val="solid" w:color="FFFFFF" w:fill="FFFFFF"/>
              <w:spacing w:after="48" w:line="240" w:lineRule="atLeast"/>
            </w:pPr>
          </w:p>
        </w:tc>
      </w:tr>
      <w:tr w:rsidR="002104E5" w:rsidRPr="00812884" w:rsidTr="00A801DB">
        <w:trPr>
          <w:cantSplit/>
          <w:trHeight w:val="83"/>
        </w:trPr>
        <w:tc>
          <w:tcPr>
            <w:tcW w:w="5988" w:type="dxa"/>
            <w:gridSpan w:val="2"/>
            <w:vMerge w:val="restart"/>
          </w:tcPr>
          <w:p w:rsidR="002104E5" w:rsidRPr="0044117D" w:rsidRDefault="002104E5" w:rsidP="00082939">
            <w:pPr>
              <w:shd w:val="solid" w:color="FFFFFF" w:fill="FFFFFF"/>
              <w:spacing w:after="240"/>
              <w:ind w:left="1134" w:hanging="1134"/>
              <w:rPr>
                <w:rFonts w:ascii="Verdana" w:hAnsi="Verdana" w:cs="Verdana"/>
                <w:sz w:val="20"/>
                <w:szCs w:val="20"/>
              </w:rPr>
            </w:pPr>
            <w:bookmarkStart w:id="1" w:name="recibido"/>
            <w:bookmarkStart w:id="2" w:name="dnum" w:colFirst="1" w:colLast="1"/>
            <w:bookmarkEnd w:id="1"/>
          </w:p>
        </w:tc>
        <w:tc>
          <w:tcPr>
            <w:tcW w:w="4043" w:type="dxa"/>
            <w:gridSpan w:val="2"/>
          </w:tcPr>
          <w:p w:rsidR="002104E5" w:rsidRPr="0007435D" w:rsidRDefault="002104E5" w:rsidP="00022D34">
            <w:pPr>
              <w:shd w:val="solid" w:color="FFFFFF" w:fill="FFFFFF"/>
              <w:spacing w:line="240" w:lineRule="atLeast"/>
              <w:rPr>
                <w:rFonts w:ascii="Verdana" w:hAnsi="Verdana" w:cs="Verdana"/>
                <w:b/>
                <w:bCs/>
                <w:sz w:val="20"/>
                <w:szCs w:val="20"/>
                <w:lang w:eastAsia="zh-CN"/>
              </w:rPr>
            </w:pPr>
            <w:r w:rsidRPr="00812884">
              <w:rPr>
                <w:rFonts w:ascii="Verdana" w:hAnsi="Verdana" w:cs="Verdana"/>
                <w:b/>
                <w:bCs/>
                <w:sz w:val="20"/>
                <w:szCs w:val="20"/>
                <w:lang w:eastAsia="zh-CN"/>
              </w:rPr>
              <w:t xml:space="preserve">Document </w:t>
            </w:r>
            <w:r w:rsidR="00025098">
              <w:rPr>
                <w:rFonts w:ascii="Verdana" w:hAnsi="Verdana" w:cs="Verdana"/>
                <w:b/>
                <w:bCs/>
                <w:sz w:val="20"/>
                <w:szCs w:val="20"/>
                <w:lang w:eastAsia="zh-CN"/>
              </w:rPr>
              <w:t>SG-RFC/201</w:t>
            </w:r>
            <w:r w:rsidR="009A262E">
              <w:rPr>
                <w:rFonts w:ascii="Verdana" w:hAnsi="Verdana" w:cs="Verdana"/>
                <w:b/>
                <w:bCs/>
                <w:sz w:val="20"/>
                <w:szCs w:val="20"/>
                <w:lang w:eastAsia="zh-CN"/>
              </w:rPr>
              <w:t>5-</w:t>
            </w:r>
            <w:r w:rsidR="00886033">
              <w:rPr>
                <w:rFonts w:ascii="Verdana" w:hAnsi="Verdana" w:cs="Verdana"/>
                <w:b/>
                <w:bCs/>
                <w:sz w:val="20"/>
                <w:szCs w:val="20"/>
                <w:lang w:eastAsia="zh-CN"/>
              </w:rPr>
              <w:t>Doc25r</w:t>
            </w:r>
            <w:r w:rsidR="00022D34">
              <w:rPr>
                <w:rFonts w:ascii="Verdana" w:hAnsi="Verdana" w:cs="Verdana"/>
                <w:b/>
                <w:bCs/>
                <w:sz w:val="20"/>
                <w:szCs w:val="20"/>
                <w:lang w:eastAsia="zh-CN"/>
              </w:rPr>
              <w:t>2</w:t>
            </w:r>
          </w:p>
        </w:tc>
      </w:tr>
      <w:tr w:rsidR="002104E5" w:rsidRPr="00812884" w:rsidTr="00A801DB">
        <w:trPr>
          <w:cantSplit/>
          <w:trHeight w:val="81"/>
        </w:trPr>
        <w:tc>
          <w:tcPr>
            <w:tcW w:w="5988" w:type="dxa"/>
            <w:gridSpan w:val="2"/>
            <w:vMerge/>
          </w:tcPr>
          <w:p w:rsidR="002104E5" w:rsidRPr="0044117D" w:rsidRDefault="002104E5" w:rsidP="000A504D">
            <w:pPr>
              <w:shd w:val="solid" w:color="FFFFFF" w:fill="FFFFFF"/>
              <w:spacing w:after="240"/>
              <w:ind w:left="1134" w:hanging="1134"/>
              <w:rPr>
                <w:rFonts w:ascii="Verdana" w:hAnsi="Verdana" w:cs="Verdana"/>
                <w:sz w:val="20"/>
                <w:szCs w:val="20"/>
              </w:rPr>
            </w:pPr>
          </w:p>
        </w:tc>
        <w:tc>
          <w:tcPr>
            <w:tcW w:w="4043" w:type="dxa"/>
            <w:gridSpan w:val="2"/>
          </w:tcPr>
          <w:p w:rsidR="002104E5" w:rsidRPr="00812884" w:rsidRDefault="000A34A1" w:rsidP="00022D34">
            <w:pPr>
              <w:shd w:val="solid" w:color="FFFFFF" w:fill="FFFFFF"/>
              <w:spacing w:before="0" w:line="240" w:lineRule="atLeast"/>
              <w:rPr>
                <w:rFonts w:ascii="Verdana" w:hAnsi="Verdana" w:cs="Verdana"/>
                <w:sz w:val="20"/>
                <w:szCs w:val="20"/>
                <w:lang w:eastAsia="zh-CN"/>
              </w:rPr>
            </w:pPr>
            <w:r>
              <w:rPr>
                <w:rFonts w:ascii="Verdana" w:hAnsi="Verdana" w:cs="Verdana"/>
                <w:b/>
                <w:bCs/>
                <w:sz w:val="20"/>
                <w:szCs w:val="20"/>
                <w:lang w:eastAsia="zh-CN"/>
              </w:rPr>
              <w:t>1</w:t>
            </w:r>
            <w:r w:rsidR="00022D34">
              <w:rPr>
                <w:rFonts w:ascii="Verdana" w:hAnsi="Verdana" w:cs="Verdana"/>
                <w:b/>
                <w:bCs/>
                <w:sz w:val="20"/>
                <w:szCs w:val="20"/>
                <w:lang w:eastAsia="zh-CN"/>
              </w:rPr>
              <w:t>9</w:t>
            </w:r>
            <w:r w:rsidR="004306C2">
              <w:rPr>
                <w:rFonts w:ascii="Verdana" w:hAnsi="Verdana" w:cs="Verdana"/>
                <w:b/>
                <w:bCs/>
                <w:sz w:val="20"/>
                <w:szCs w:val="20"/>
                <w:lang w:eastAsia="zh-CN"/>
              </w:rPr>
              <w:t xml:space="preserve"> </w:t>
            </w:r>
            <w:r w:rsidR="009A262E">
              <w:rPr>
                <w:rFonts w:ascii="Verdana" w:hAnsi="Verdana" w:cs="Verdana"/>
                <w:b/>
                <w:bCs/>
                <w:sz w:val="20"/>
                <w:szCs w:val="20"/>
                <w:lang w:eastAsia="zh-CN"/>
              </w:rPr>
              <w:t>September 2015</w:t>
            </w:r>
          </w:p>
        </w:tc>
      </w:tr>
      <w:tr w:rsidR="002104E5" w:rsidRPr="00812884" w:rsidTr="00A801DB">
        <w:trPr>
          <w:cantSplit/>
          <w:trHeight w:val="81"/>
        </w:trPr>
        <w:tc>
          <w:tcPr>
            <w:tcW w:w="5988" w:type="dxa"/>
            <w:gridSpan w:val="2"/>
            <w:vMerge/>
          </w:tcPr>
          <w:p w:rsidR="002104E5" w:rsidRPr="0044117D" w:rsidRDefault="002104E5" w:rsidP="000A504D">
            <w:pPr>
              <w:shd w:val="solid" w:color="FFFFFF" w:fill="FFFFFF"/>
              <w:spacing w:after="240"/>
              <w:ind w:left="1134" w:hanging="1134"/>
              <w:rPr>
                <w:rFonts w:ascii="Verdana" w:hAnsi="Verdana" w:cs="Verdana"/>
                <w:sz w:val="20"/>
                <w:szCs w:val="20"/>
              </w:rPr>
            </w:pPr>
          </w:p>
        </w:tc>
        <w:tc>
          <w:tcPr>
            <w:tcW w:w="4043" w:type="dxa"/>
            <w:gridSpan w:val="2"/>
          </w:tcPr>
          <w:p w:rsidR="002104E5" w:rsidRPr="00812884" w:rsidRDefault="002104E5" w:rsidP="000A504D">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3B1615" w:rsidRPr="00812884" w:rsidTr="00A801DB">
        <w:trPr>
          <w:cantSplit/>
          <w:trHeight w:val="81"/>
        </w:trPr>
        <w:tc>
          <w:tcPr>
            <w:tcW w:w="5988" w:type="dxa"/>
            <w:gridSpan w:val="2"/>
          </w:tcPr>
          <w:p w:rsidR="003B1615" w:rsidRPr="0044117D" w:rsidRDefault="003B1615" w:rsidP="000A504D">
            <w:pPr>
              <w:shd w:val="solid" w:color="FFFFFF" w:fill="FFFFFF"/>
              <w:spacing w:after="240"/>
              <w:ind w:left="1134" w:hanging="1134"/>
              <w:rPr>
                <w:rFonts w:ascii="Verdana" w:hAnsi="Verdana" w:cs="Verdana"/>
                <w:sz w:val="20"/>
                <w:szCs w:val="20"/>
              </w:rPr>
            </w:pPr>
          </w:p>
        </w:tc>
        <w:tc>
          <w:tcPr>
            <w:tcW w:w="4043" w:type="dxa"/>
            <w:gridSpan w:val="2"/>
          </w:tcPr>
          <w:p w:rsidR="003B1615" w:rsidRPr="00812884" w:rsidRDefault="003B1615" w:rsidP="000A504D">
            <w:pPr>
              <w:shd w:val="solid" w:color="FFFFFF" w:fill="FFFFFF"/>
              <w:spacing w:before="0" w:line="240" w:lineRule="atLeast"/>
              <w:rPr>
                <w:rFonts w:ascii="Verdana" w:eastAsia="SimSun" w:hAnsi="Verdana" w:cs="Verdana"/>
                <w:b/>
                <w:bCs/>
                <w:sz w:val="20"/>
                <w:szCs w:val="20"/>
                <w:lang w:eastAsia="zh-CN"/>
              </w:rPr>
            </w:pPr>
          </w:p>
        </w:tc>
      </w:tr>
      <w:tr w:rsidR="003B1615" w:rsidRPr="00812884" w:rsidTr="00A801DB">
        <w:trPr>
          <w:cantSplit/>
          <w:trHeight w:val="81"/>
        </w:trPr>
        <w:tc>
          <w:tcPr>
            <w:tcW w:w="5988" w:type="dxa"/>
            <w:gridSpan w:val="2"/>
          </w:tcPr>
          <w:p w:rsidR="003B1615" w:rsidRPr="0044117D" w:rsidRDefault="003B1615" w:rsidP="000A504D">
            <w:pPr>
              <w:shd w:val="solid" w:color="FFFFFF" w:fill="FFFFFF"/>
              <w:spacing w:after="240"/>
              <w:ind w:left="1134" w:hanging="1134"/>
              <w:rPr>
                <w:rFonts w:ascii="Verdana" w:hAnsi="Verdana" w:cs="Verdana"/>
                <w:sz w:val="20"/>
                <w:szCs w:val="20"/>
              </w:rPr>
            </w:pPr>
          </w:p>
        </w:tc>
        <w:tc>
          <w:tcPr>
            <w:tcW w:w="4043" w:type="dxa"/>
            <w:gridSpan w:val="2"/>
          </w:tcPr>
          <w:p w:rsidR="003B1615" w:rsidRPr="00812884" w:rsidRDefault="00F250BE" w:rsidP="000A504D">
            <w:pPr>
              <w:shd w:val="solid" w:color="FFFFFF" w:fill="FFFFFF"/>
              <w:spacing w:before="0" w:line="240" w:lineRule="atLeast"/>
              <w:rPr>
                <w:rFonts w:ascii="Verdana" w:eastAsia="SimSun" w:hAnsi="Verdana" w:cs="Verdana"/>
                <w:b/>
                <w:bCs/>
                <w:sz w:val="20"/>
                <w:szCs w:val="20"/>
                <w:lang w:eastAsia="zh-CN"/>
              </w:rP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1645920</wp:posOffset>
                      </wp:positionH>
                      <wp:positionV relativeFrom="paragraph">
                        <wp:posOffset>78105</wp:posOffset>
                      </wp:positionV>
                      <wp:extent cx="295275" cy="257175"/>
                      <wp:effectExtent l="7620" t="11430"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000000"/>
                                </a:solidFill>
                                <a:miter lim="800000"/>
                                <a:headEnd/>
                                <a:tailEnd/>
                              </a:ln>
                            </wps:spPr>
                            <wps:txbx>
                              <w:txbxContent>
                                <w:p w:rsidR="003B1615" w:rsidRPr="00B7498E" w:rsidRDefault="003817ED">
                                  <w:pPr>
                                    <w:rPr>
                                      <w:rFonts w:ascii="Verdana" w:hAnsi="Verdana"/>
                                      <w:b/>
                                      <w:sz w:val="22"/>
                                    </w:rPr>
                                  </w:pPr>
                                  <w:r>
                                    <w:rPr>
                                      <w:rFonts w:ascii="Verdana" w:hAnsi="Verdana"/>
                                      <w:b/>
                                      <w:sz w:val="22"/>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6pt;margin-top:6.15pt;width:23.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0eJwIAAE8EAAAOAAAAZHJzL2Uyb0RvYy54bWysVNtu2zAMfR+wfxD0vjgxkqU14hRdugwD&#10;ugvQ7gNoWY6FyaImKbG7rx8lp6mx7WmYHwRRpI4OD0lvboZOs5N0XqEp+WI250wagbUyh5J/e9y/&#10;ueLMBzA1aDSy5E/S85vt61eb3hYyxxZ1LR0jEOOL3pa8DcEWWeZFKzvwM7TSkLNB10Eg0x2y2kFP&#10;6J3O8vn8bdajq61DIb2n07vRybcJv2mkCF+axsvAdMmJW0irS2sV12y7geLgwLZKnGnAP7DoQBl6&#10;9AJ1BwHY0ak/oDolHHpswkxgl2HTKCFTDpTNYv5bNg8tWJlyIXG8vcjk/x+s+Hz66piqqXacGeio&#10;RI9yCOwdDiyP6vTWFxT0YCksDHQcI2Om3t6j+O6ZwV0L5iBvncO+lVATu0W8mU2ujjg+glT9J6zp&#10;GTgGTEBD47oISGIwQqcqPV0qE6kIOsyvV/l6xZkgV75aL2gfX4Di+bJ1PnyQ2LG4KbmjwidwON37&#10;MIY+hyTyqFW9V1onwx2qnXbsBNQk+/Sd0f00TBvWl5yIrMb8pz4/hZin728QnQrU7Vp1Jb+6BEER&#10;VXtvaqIJRQClxz1lp81ZxqjcqGEYqoECo7YV1k8kqMOxq2kKadOi+8lZTx1dcv/jCE5ypj8aKsr1&#10;YrmMI5CM5Wqdk+GmnmrqASMIquSBs3G7C+PYHK1Th5ZeGtvA4C0VslFJ5BdWZ97UtalM5wmLYzG1&#10;U9TLf2D7CwAA//8DAFBLAwQUAAYACAAAACEATpFqzN8AAAAJAQAADwAAAGRycy9kb3ducmV2Lnht&#10;bEyPwU7DMBBE70j8g7VIXBB1cEibhjgVQgLBDQqCqxu7SYS9Drabhr9nOcFxNU8zb+vN7CybTIiD&#10;RwlXiwyYwdbrATsJb6/3lyWwmBRqZT0aCd8mwqY5PalVpf0RX8y0TR2jEoyVktCnNFacx7Y3TsWF&#10;Hw1StvfBqURn6LgO6kjlznKRZUvu1IC00KvR3PWm/dwenITy+nH6iE/583u73Nt1ulhND19ByvOz&#10;+fYGWDJz+oPhV5/UoSGnnT+gjsxKEMVaEEqByIERkGfFCthOQiFK4E3N/3/Q/AAAAP//AwBQSwEC&#10;LQAUAAYACAAAACEAtoM4kv4AAADhAQAAEwAAAAAAAAAAAAAAAAAAAAAAW0NvbnRlbnRfVHlwZXNd&#10;LnhtbFBLAQItABQABgAIAAAAIQA4/SH/1gAAAJQBAAALAAAAAAAAAAAAAAAAAC8BAABfcmVscy8u&#10;cmVsc1BLAQItABQABgAIAAAAIQBT5c0eJwIAAE8EAAAOAAAAAAAAAAAAAAAAAC4CAABkcnMvZTJv&#10;RG9jLnhtbFBLAQItABQABgAIAAAAIQBOkWrM3wAAAAkBAAAPAAAAAAAAAAAAAAAAAIEEAABkcnMv&#10;ZG93bnJldi54bWxQSwUGAAAAAAQABADzAAAAjQUAAAAA&#10;">
                      <v:textbox>
                        <w:txbxContent>
                          <w:p w:rsidR="003B1615" w:rsidRPr="00B7498E" w:rsidRDefault="003817ED">
                            <w:pPr>
                              <w:rPr>
                                <w:rFonts w:ascii="Verdana" w:hAnsi="Verdana"/>
                                <w:b/>
                                <w:sz w:val="22"/>
                              </w:rPr>
                            </w:pPr>
                            <w:r>
                              <w:rPr>
                                <w:rFonts w:ascii="Verdana" w:hAnsi="Verdana"/>
                                <w:b/>
                                <w:sz w:val="22"/>
                              </w:rPr>
                              <w:t>N</w:t>
                            </w:r>
                          </w:p>
                        </w:txbxContent>
                      </v:textbox>
                    </v:shape>
                  </w:pict>
                </mc:Fallback>
              </mc:AlternateContent>
            </w:r>
            <w:r w:rsidR="003B1615" w:rsidRPr="00BC3021">
              <w:rPr>
                <w:rFonts w:ascii="Verdana" w:eastAsia="SimSun" w:hAnsi="Verdana" w:cs="Verdana"/>
                <w:b/>
                <w:bCs/>
                <w:sz w:val="20"/>
                <w:szCs w:val="20"/>
                <w:lang w:eastAsia="zh-CN"/>
              </w:rPr>
              <w:t>Restricted access</w:t>
            </w:r>
            <w:r w:rsidR="003B1615">
              <w:rPr>
                <w:rFonts w:ascii="Verdana" w:eastAsia="SimSun" w:hAnsi="Verdana" w:cs="Verdana"/>
                <w:b/>
                <w:bCs/>
                <w:sz w:val="20"/>
                <w:szCs w:val="20"/>
                <w:lang w:eastAsia="zh-CN"/>
              </w:rPr>
              <w:t xml:space="preserve"> </w:t>
            </w:r>
            <w:r w:rsidR="003B1615">
              <w:rPr>
                <w:rFonts w:ascii="Verdana" w:eastAsia="SimSun" w:hAnsi="Verdana" w:cs="Verdana"/>
                <w:b/>
                <w:bCs/>
                <w:sz w:val="20"/>
                <w:szCs w:val="20"/>
                <w:lang w:eastAsia="zh-CN"/>
              </w:rPr>
              <w:br/>
            </w:r>
            <w:r w:rsidR="003B1615" w:rsidRPr="00BC3021">
              <w:rPr>
                <w:rFonts w:ascii="Verdana" w:eastAsia="SimSun" w:hAnsi="Verdana" w:cs="Verdana"/>
                <w:b/>
                <w:bCs/>
                <w:sz w:val="20"/>
                <w:szCs w:val="20"/>
                <w:lang w:eastAsia="zh-CN"/>
              </w:rPr>
              <w:t>required? (Y/N)</w:t>
            </w:r>
            <w:r w:rsidR="003B1615">
              <w:rPr>
                <w:rStyle w:val="FootnoteReference"/>
                <w:rFonts w:ascii="Verdana" w:eastAsia="SimSun" w:hAnsi="Verdana" w:cs="Verdana"/>
                <w:b/>
                <w:bCs/>
                <w:sz w:val="20"/>
                <w:szCs w:val="20"/>
                <w:lang w:eastAsia="zh-CN"/>
              </w:rPr>
              <w:footnoteReference w:customMarkFollows="1" w:id="1"/>
              <w:t>*</w:t>
            </w:r>
            <w:r w:rsidR="003B1615">
              <w:tab/>
            </w:r>
            <w:r w:rsidR="003B1615">
              <w:tab/>
            </w:r>
          </w:p>
        </w:tc>
      </w:tr>
      <w:tr w:rsidR="002104E5" w:rsidRPr="00812884">
        <w:trPr>
          <w:cantSplit/>
        </w:trPr>
        <w:tc>
          <w:tcPr>
            <w:tcW w:w="10031" w:type="dxa"/>
            <w:gridSpan w:val="4"/>
          </w:tcPr>
          <w:p w:rsidR="002104E5" w:rsidRPr="00683FE2" w:rsidRDefault="002104E5" w:rsidP="00082939">
            <w:pPr>
              <w:pStyle w:val="Source"/>
              <w:rPr>
                <w:lang w:eastAsia="zh-CN"/>
              </w:rPr>
            </w:pPr>
            <w:bookmarkStart w:id="3" w:name="dsource" w:colFirst="0" w:colLast="0"/>
            <w:bookmarkEnd w:id="2"/>
            <w:r w:rsidRPr="00683FE2">
              <w:t>STEERING GROUP ON RADIO FREQUENCY COORDINATION (SG-RFC)</w:t>
            </w:r>
          </w:p>
        </w:tc>
      </w:tr>
      <w:tr w:rsidR="002104E5" w:rsidRPr="00812884">
        <w:trPr>
          <w:cantSplit/>
        </w:trPr>
        <w:tc>
          <w:tcPr>
            <w:tcW w:w="10031" w:type="dxa"/>
            <w:gridSpan w:val="4"/>
          </w:tcPr>
          <w:p w:rsidR="004306C2" w:rsidRPr="004306C2" w:rsidRDefault="00CF179D" w:rsidP="00CF179D">
            <w:pPr>
              <w:pStyle w:val="Reptitle"/>
              <w:rPr>
                <w:lang w:val="en-US" w:eastAsia="zh-CN"/>
              </w:rPr>
            </w:pPr>
            <w:bookmarkStart w:id="4" w:name="drec" w:colFirst="0" w:colLast="0"/>
            <w:bookmarkEnd w:id="3"/>
            <w:proofErr w:type="spellStart"/>
            <w:r>
              <w:rPr>
                <w:b w:val="0"/>
                <w:lang w:eastAsia="zh-CN"/>
              </w:rPr>
              <w:t>MeteoS</w:t>
            </w:r>
            <w:r w:rsidR="00763EBB">
              <w:rPr>
                <w:b w:val="0"/>
                <w:lang w:eastAsia="zh-CN"/>
              </w:rPr>
              <w:t>wiss</w:t>
            </w:r>
            <w:proofErr w:type="spellEnd"/>
            <w:r w:rsidR="00763EBB">
              <w:rPr>
                <w:b w:val="0"/>
                <w:lang w:eastAsia="zh-CN"/>
              </w:rPr>
              <w:t xml:space="preserve">, </w:t>
            </w:r>
            <w:proofErr w:type="spellStart"/>
            <w:r w:rsidR="009A262E">
              <w:rPr>
                <w:b w:val="0"/>
                <w:lang w:eastAsia="zh-CN"/>
              </w:rPr>
              <w:t>Payerne</w:t>
            </w:r>
            <w:proofErr w:type="spellEnd"/>
            <w:r w:rsidR="009A262E">
              <w:rPr>
                <w:b w:val="0"/>
                <w:lang w:eastAsia="zh-CN"/>
              </w:rPr>
              <w:t>, Switzerland,</w:t>
            </w:r>
            <w:r>
              <w:rPr>
                <w:b w:val="0"/>
                <w:lang w:eastAsia="zh-CN"/>
              </w:rPr>
              <w:t xml:space="preserve"> </w:t>
            </w:r>
            <w:r w:rsidR="009A262E">
              <w:rPr>
                <w:b w:val="0"/>
                <w:lang w:eastAsia="zh-CN"/>
              </w:rPr>
              <w:t>22 - 2</w:t>
            </w:r>
            <w:r>
              <w:rPr>
                <w:b w:val="0"/>
                <w:lang w:eastAsia="zh-CN"/>
              </w:rPr>
              <w:t>5</w:t>
            </w:r>
            <w:r w:rsidR="009A262E">
              <w:rPr>
                <w:b w:val="0"/>
                <w:lang w:eastAsia="zh-CN"/>
              </w:rPr>
              <w:t xml:space="preserve"> September 2015</w:t>
            </w:r>
          </w:p>
        </w:tc>
      </w:tr>
      <w:tr w:rsidR="002104E5" w:rsidRPr="00812884">
        <w:trPr>
          <w:cantSplit/>
        </w:trPr>
        <w:tc>
          <w:tcPr>
            <w:tcW w:w="10031" w:type="dxa"/>
            <w:gridSpan w:val="4"/>
          </w:tcPr>
          <w:p w:rsidR="002104E5" w:rsidRPr="00891B49" w:rsidRDefault="002104E5" w:rsidP="00025098">
            <w:pPr>
              <w:pStyle w:val="Reptitle"/>
              <w:rPr>
                <w:b w:val="0"/>
                <w:bCs w:val="0"/>
                <w:lang w:eastAsia="zh-CN"/>
              </w:rPr>
            </w:pPr>
            <w:bookmarkStart w:id="5" w:name="dtitle1" w:colFirst="0" w:colLast="0"/>
            <w:bookmarkEnd w:id="4"/>
          </w:p>
        </w:tc>
      </w:tr>
    </w:tbl>
    <w:bookmarkEnd w:id="5"/>
    <w:p w:rsidR="000A34A1" w:rsidRPr="00596C6A" w:rsidRDefault="00BC4465" w:rsidP="00596C6A">
      <w:pPr>
        <w:pStyle w:val="Heading1"/>
        <w:jc w:val="center"/>
        <w:rPr>
          <w:rFonts w:asciiTheme="majorHAnsi" w:hAnsiTheme="majorHAnsi"/>
        </w:rPr>
      </w:pPr>
      <w:r>
        <w:rPr>
          <w:rFonts w:asciiTheme="majorHAnsi" w:hAnsiTheme="majorHAnsi"/>
        </w:rPr>
        <w:t xml:space="preserve">Position </w:t>
      </w:r>
      <w:r w:rsidR="00EA3856">
        <w:rPr>
          <w:rFonts w:asciiTheme="majorHAnsi" w:hAnsiTheme="majorHAnsi"/>
        </w:rPr>
        <w:t>of</w:t>
      </w:r>
      <w:r w:rsidR="00596C6A">
        <w:rPr>
          <w:rFonts w:asciiTheme="majorHAnsi" w:hAnsiTheme="majorHAnsi"/>
        </w:rPr>
        <w:br/>
      </w:r>
      <w:r w:rsidR="00596C6A" w:rsidRPr="00596C6A">
        <w:rPr>
          <w:rFonts w:asciiTheme="majorHAnsi" w:hAnsiTheme="majorHAnsi"/>
        </w:rPr>
        <w:t xml:space="preserve">the </w:t>
      </w:r>
      <w:r w:rsidR="00596C6A">
        <w:rPr>
          <w:rFonts w:asciiTheme="majorHAnsi" w:hAnsiTheme="majorHAnsi" w:cs="Tahoma"/>
          <w:bCs w:val="0"/>
          <w:lang w:val="en-GB"/>
        </w:rPr>
        <w:t>Regional Commonwealth in the F</w:t>
      </w:r>
      <w:r w:rsidR="00596C6A" w:rsidRPr="00596C6A">
        <w:rPr>
          <w:rFonts w:asciiTheme="majorHAnsi" w:hAnsiTheme="majorHAnsi" w:cs="Tahoma"/>
          <w:bCs w:val="0"/>
          <w:lang w:val="en-GB"/>
        </w:rPr>
        <w:t>ield of Communications</w:t>
      </w:r>
      <w:r w:rsidR="00596C6A">
        <w:rPr>
          <w:rFonts w:asciiTheme="majorHAnsi" w:hAnsiTheme="majorHAnsi" w:cs="Tahoma"/>
          <w:bCs w:val="0"/>
          <w:lang w:val="en-GB"/>
        </w:rPr>
        <w:t xml:space="preserve"> (RCC)</w:t>
      </w:r>
      <w:r w:rsidR="00596C6A">
        <w:rPr>
          <w:rFonts w:asciiTheme="majorHAnsi" w:hAnsiTheme="majorHAnsi" w:cs="Tahoma"/>
          <w:bCs w:val="0"/>
          <w:lang w:val="en-GB"/>
        </w:rPr>
        <w:br/>
      </w:r>
      <w:r>
        <w:rPr>
          <w:rFonts w:asciiTheme="majorHAnsi" w:hAnsiTheme="majorHAnsi"/>
        </w:rPr>
        <w:t xml:space="preserve">Administrations </w:t>
      </w:r>
      <w:r w:rsidR="000A34A1" w:rsidRPr="00596C6A">
        <w:rPr>
          <w:rFonts w:asciiTheme="majorHAnsi" w:hAnsiTheme="majorHAnsi"/>
        </w:rPr>
        <w:t>on</w:t>
      </w:r>
      <w:r w:rsidR="00B07B9D">
        <w:rPr>
          <w:rFonts w:asciiTheme="majorHAnsi" w:hAnsiTheme="majorHAnsi"/>
        </w:rPr>
        <w:t xml:space="preserve"> </w:t>
      </w:r>
      <w:r w:rsidR="000A34A1" w:rsidRPr="00596C6A">
        <w:rPr>
          <w:rFonts w:asciiTheme="majorHAnsi" w:hAnsiTheme="majorHAnsi"/>
        </w:rPr>
        <w:t>WRC-15 Agenda</w:t>
      </w:r>
      <w:r w:rsidR="00596C6A" w:rsidRPr="00596C6A">
        <w:rPr>
          <w:rFonts w:asciiTheme="majorHAnsi" w:hAnsiTheme="majorHAnsi"/>
        </w:rPr>
        <w:t xml:space="preserve"> Items </w:t>
      </w:r>
      <w:r w:rsidR="00596C6A">
        <w:rPr>
          <w:rFonts w:asciiTheme="majorHAnsi" w:hAnsiTheme="majorHAnsi"/>
        </w:rPr>
        <w:br/>
      </w:r>
      <w:r w:rsidR="00596C6A" w:rsidRPr="00596C6A">
        <w:rPr>
          <w:rFonts w:asciiTheme="majorHAnsi" w:hAnsiTheme="majorHAnsi"/>
        </w:rPr>
        <w:t>That Are Prime Interest or Concern for WMO</w:t>
      </w:r>
    </w:p>
    <w:p w:rsidR="000A34A1" w:rsidRPr="00E50048" w:rsidRDefault="000A34A1" w:rsidP="000A34A1">
      <w:pPr>
        <w:pStyle w:val="Heading3"/>
        <w:rPr>
          <w:lang w:val="en-GB"/>
        </w:rPr>
      </w:pPr>
      <w:r w:rsidRPr="00E50048">
        <w:rPr>
          <w:lang w:val="en-GB"/>
        </w:rPr>
        <w:t>1</w:t>
      </w:r>
      <w:r w:rsidRPr="00E50048">
        <w:rPr>
          <w:lang w:val="en-GB"/>
        </w:rPr>
        <w:tab/>
        <w:t>Agenda item 1.1</w:t>
      </w:r>
    </w:p>
    <w:p w:rsidR="000A34A1" w:rsidRPr="00E50048" w:rsidRDefault="000A34A1" w:rsidP="000A34A1">
      <w:pPr>
        <w:rPr>
          <w:b/>
          <w:i/>
          <w:lang w:val="en-GB"/>
        </w:rPr>
      </w:pPr>
      <w:r w:rsidRPr="00E50048">
        <w:rPr>
          <w:i/>
          <w:lang w:val="en-GB"/>
        </w:rPr>
        <w:t xml:space="preserve">“to consider additional spectrum allocations to the mobile service on a primary basis and identification of </w:t>
      </w:r>
      <w:r w:rsidRPr="00E50048">
        <w:rPr>
          <w:bCs/>
          <w:i/>
          <w:lang w:val="en-GB"/>
        </w:rPr>
        <w:t>additional frequency</w:t>
      </w:r>
      <w:r w:rsidRPr="00E50048">
        <w:rPr>
          <w:b/>
          <w:i/>
          <w:lang w:val="en-GB"/>
        </w:rPr>
        <w:t xml:space="preserve"> </w:t>
      </w:r>
      <w:r w:rsidRPr="00E50048">
        <w:rPr>
          <w:i/>
          <w:lang w:val="en-GB"/>
        </w:rPr>
        <w:t>bands for International Mobile Telecommunications (IMT) and related regulatory provisions, to facilitate the development of terrestrial mobile broadband applications, in accordance with Resolution</w:t>
      </w:r>
      <w:r>
        <w:rPr>
          <w:i/>
          <w:lang w:val="en-GB"/>
        </w:rPr>
        <w:t> </w:t>
      </w:r>
      <w:r w:rsidRPr="00E50048">
        <w:rPr>
          <w:b/>
          <w:bCs/>
          <w:i/>
          <w:lang w:val="en-GB"/>
        </w:rPr>
        <w:t>233</w:t>
      </w:r>
      <w:r>
        <w:rPr>
          <w:b/>
          <w:bCs/>
          <w:i/>
          <w:lang w:val="en-GB"/>
        </w:rPr>
        <w:t> </w:t>
      </w:r>
      <w:r w:rsidRPr="00E50048">
        <w:rPr>
          <w:b/>
          <w:bCs/>
          <w:i/>
          <w:lang w:val="en-GB"/>
        </w:rPr>
        <w:t>(WRC</w:t>
      </w:r>
      <w:r w:rsidRPr="00E50048">
        <w:rPr>
          <w:b/>
          <w:bCs/>
          <w:i/>
          <w:lang w:val="en-GB"/>
        </w:rPr>
        <w:noBreakHyphen/>
        <w:t>12)</w:t>
      </w:r>
      <w:r w:rsidRPr="00E50048">
        <w:rPr>
          <w:i/>
          <w:lang w:val="en-GB"/>
        </w:rPr>
        <w:t>.”</w:t>
      </w:r>
    </w:p>
    <w:p w:rsidR="00B01489" w:rsidRPr="00B01489" w:rsidRDefault="00B01489" w:rsidP="00B01489">
      <w:pPr>
        <w:pStyle w:val="enumlev1"/>
        <w:ind w:left="0" w:firstLine="0"/>
        <w:rPr>
          <w:i/>
        </w:rPr>
      </w:pPr>
      <w:r w:rsidRPr="00B01489">
        <w:rPr>
          <w:i/>
        </w:rPr>
        <w:t>Position of the RCC</w:t>
      </w:r>
      <w:r w:rsidR="00D35781">
        <w:rPr>
          <w:i/>
        </w:rPr>
        <w:t> </w:t>
      </w:r>
      <w:r w:rsidRPr="00B01489">
        <w:rPr>
          <w:i/>
        </w:rPr>
        <w:t>Administrations indicated for the frequency bands that are WMO interest o</w:t>
      </w:r>
      <w:r>
        <w:rPr>
          <w:i/>
        </w:rPr>
        <w:t>r</w:t>
      </w:r>
      <w:r w:rsidRPr="00B01489">
        <w:rPr>
          <w:i/>
        </w:rPr>
        <w:t xml:space="preserve"> concern</w:t>
      </w:r>
      <w:r w:rsidR="00713F92">
        <w:rPr>
          <w:i/>
        </w:rPr>
        <w:t xml:space="preserve"> for convenience of readers</w:t>
      </w:r>
      <w:r w:rsidRPr="00B01489">
        <w:rPr>
          <w:i/>
        </w:rPr>
        <w:t>.</w:t>
      </w:r>
      <w:r w:rsidR="00713F92">
        <w:rPr>
          <w:i/>
        </w:rPr>
        <w:t xml:space="preserve"> In the RCC document many of them </w:t>
      </w:r>
      <w:r w:rsidR="00D35781">
        <w:rPr>
          <w:i/>
        </w:rPr>
        <w:t xml:space="preserve">are </w:t>
      </w:r>
      <w:r w:rsidR="00713F92">
        <w:rPr>
          <w:i/>
        </w:rPr>
        <w:t>shown in one paragraph.</w:t>
      </w:r>
    </w:p>
    <w:p w:rsidR="000A34A1" w:rsidRPr="00FB339A" w:rsidRDefault="000A34A1" w:rsidP="000A34A1">
      <w:pPr>
        <w:pStyle w:val="Headingb"/>
      </w:pPr>
      <w:r w:rsidRPr="00FB339A">
        <w:t>1.1 The frequency bands 1 350-1 400 MHz and 1 427-1 452</w:t>
      </w:r>
      <w:r>
        <w:t> </w:t>
      </w:r>
      <w:r w:rsidRPr="00FB339A">
        <w:t>MHz</w:t>
      </w:r>
    </w:p>
    <w:p w:rsidR="000A34A1" w:rsidRDefault="00B01489" w:rsidP="000A34A1">
      <w:pPr>
        <w:pStyle w:val="enumlev1"/>
        <w:ind w:left="0" w:firstLine="0"/>
      </w:pPr>
      <w:r>
        <w:t xml:space="preserve">The </w:t>
      </w:r>
      <w:r w:rsidR="00EA3856">
        <w:t>RCC</w:t>
      </w:r>
      <w:r w:rsidR="00D35781">
        <w:t> </w:t>
      </w:r>
      <w:r w:rsidR="00EA3856">
        <w:t xml:space="preserve">Administrations object to the primary allocation to the MS and identification for IMT systems </w:t>
      </w:r>
      <w:r w:rsidR="000A34A1">
        <w:t xml:space="preserve">in the frequency bands </w:t>
      </w:r>
      <w:r w:rsidR="000A34A1" w:rsidRPr="00FB339A">
        <w:t>1 350-1 400 MHz and 1 427-1 452</w:t>
      </w:r>
      <w:r w:rsidR="000A34A1">
        <w:t> </w:t>
      </w:r>
      <w:r w:rsidR="000A34A1" w:rsidRPr="00FB339A">
        <w:t xml:space="preserve">MHz </w:t>
      </w:r>
      <w:r w:rsidR="00EA3856">
        <w:t>due to the intensive use by the incumbent services and possible unacceptable interference to the stations of these servi</w:t>
      </w:r>
      <w:r>
        <w:t>ces:</w:t>
      </w:r>
    </w:p>
    <w:p w:rsidR="00B01489" w:rsidRPr="009B5165" w:rsidRDefault="00B01489" w:rsidP="00F502A3">
      <w:pPr>
        <w:pStyle w:val="ListParagraph"/>
        <w:numPr>
          <w:ilvl w:val="0"/>
          <w:numId w:val="13"/>
        </w:numPr>
        <w:spacing w:before="80" w:beforeAutospacing="0" w:after="0" w:afterAutospacing="0"/>
        <w:jc w:val="both"/>
      </w:pPr>
      <w:r w:rsidRPr="009B5165">
        <w:t xml:space="preserve">1350-1400 MHz used by RLS and RNS under RR No </w:t>
      </w:r>
      <w:r w:rsidRPr="00B01489">
        <w:rPr>
          <w:b/>
        </w:rPr>
        <w:t>5.338</w:t>
      </w:r>
      <w:r w:rsidRPr="009B5165">
        <w:t xml:space="preserve">; </w:t>
      </w:r>
    </w:p>
    <w:p w:rsidR="00B01489" w:rsidRPr="009B5165" w:rsidRDefault="00B01489" w:rsidP="00B01489">
      <w:pPr>
        <w:pStyle w:val="ListParagraph"/>
        <w:numPr>
          <w:ilvl w:val="0"/>
          <w:numId w:val="13"/>
        </w:numPr>
        <w:spacing w:before="0" w:beforeAutospacing="0"/>
        <w:jc w:val="both"/>
      </w:pPr>
      <w:r w:rsidRPr="009B5165">
        <w:t xml:space="preserve">1427-1452 MHz, 1452-1492 MHz, 1492-1518 MHz, 1518-1525 MHz used by aeronautical telemetry operating under RR Nos </w:t>
      </w:r>
      <w:r w:rsidRPr="00B01489">
        <w:rPr>
          <w:b/>
        </w:rPr>
        <w:t>5.342</w:t>
      </w:r>
      <w:r w:rsidRPr="009B5165">
        <w:t xml:space="preserve"> and </w:t>
      </w:r>
      <w:r w:rsidRPr="00B01489">
        <w:rPr>
          <w:b/>
        </w:rPr>
        <w:t>4.10</w:t>
      </w:r>
      <w:r>
        <w:t>.</w:t>
      </w:r>
    </w:p>
    <w:p w:rsidR="000A34A1" w:rsidRPr="00FB339A" w:rsidRDefault="000A34A1" w:rsidP="000A34A1">
      <w:pPr>
        <w:pStyle w:val="Headingb"/>
      </w:pPr>
      <w:r w:rsidRPr="00FB339A">
        <w:t>1.</w:t>
      </w:r>
      <w:r>
        <w:t>2</w:t>
      </w:r>
      <w:r w:rsidRPr="00FB339A">
        <w:t xml:space="preserve"> The frequency band 1 695-1 710 MHz</w:t>
      </w:r>
    </w:p>
    <w:p w:rsidR="00B01489" w:rsidRDefault="00B01489" w:rsidP="00B01489">
      <w:pPr>
        <w:pStyle w:val="enumlev1"/>
        <w:ind w:left="0" w:firstLine="0"/>
      </w:pPr>
      <w:r>
        <w:t>The RCC</w:t>
      </w:r>
      <w:r w:rsidR="00D35781">
        <w:t> </w:t>
      </w:r>
      <w:r>
        <w:t xml:space="preserve">Administrations object to the primary allocation to the MS and identification for IMT systems in the frequency band </w:t>
      </w:r>
      <w:r w:rsidRPr="00FB339A">
        <w:t xml:space="preserve">1 695-1 710 MHz </w:t>
      </w:r>
      <w:r>
        <w:t>due to the intensive use by the incumbent services and possible unacceptable interference to the stations of these services:</w:t>
      </w:r>
    </w:p>
    <w:p w:rsidR="00B01489" w:rsidRPr="009B5165" w:rsidRDefault="00B01489" w:rsidP="00F502A3">
      <w:pPr>
        <w:pStyle w:val="ListParagraph"/>
        <w:numPr>
          <w:ilvl w:val="0"/>
          <w:numId w:val="13"/>
        </w:numPr>
        <w:spacing w:before="80" w:beforeAutospacing="0"/>
        <w:jc w:val="both"/>
      </w:pPr>
      <w:r w:rsidRPr="009B5165">
        <w:t>1695-1710 MHz used by meteorological-satellite service (space-to-Earth)</w:t>
      </w:r>
      <w:r>
        <w:t>.</w:t>
      </w:r>
    </w:p>
    <w:p w:rsidR="000A34A1" w:rsidRPr="00B01489" w:rsidRDefault="000A34A1" w:rsidP="000A34A1">
      <w:pPr>
        <w:pStyle w:val="Headingb"/>
      </w:pPr>
      <w:r w:rsidRPr="00B01489">
        <w:lastRenderedPageBreak/>
        <w:t>1.3 The frequency bands 2 025-2 110 MHz and 2 200-2 290 MHz – not included in the list of potential candidate frequency bands</w:t>
      </w:r>
    </w:p>
    <w:p w:rsidR="000A34A1" w:rsidRPr="00FB339A" w:rsidRDefault="00B01489" w:rsidP="000A34A1">
      <w:pPr>
        <w:pStyle w:val="enumlev1"/>
        <w:ind w:left="0" w:firstLine="0"/>
      </w:pPr>
      <w:r>
        <w:t>Not mentioned in the RCC position/common proposals</w:t>
      </w:r>
      <w:r w:rsidR="00230902">
        <w:t xml:space="preserve"> because they are not included in </w:t>
      </w:r>
      <w:r w:rsidR="00230902" w:rsidRPr="00B01489">
        <w:t>the list of potential candidate frequency bands</w:t>
      </w:r>
      <w:r>
        <w:t>.</w:t>
      </w:r>
      <w:r w:rsidR="00230902">
        <w:t xml:space="preserve"> However, the RCC Administration position is in-line with WMO.</w:t>
      </w:r>
      <w:r w:rsidR="000A34A1" w:rsidRPr="003F53CE">
        <w:t xml:space="preserve"> </w:t>
      </w:r>
    </w:p>
    <w:p w:rsidR="000A34A1" w:rsidRPr="00FB339A" w:rsidRDefault="000A34A1" w:rsidP="000A34A1">
      <w:pPr>
        <w:pStyle w:val="Headingb"/>
      </w:pPr>
      <w:r w:rsidRPr="00FB339A">
        <w:t>1.</w:t>
      </w:r>
      <w:r>
        <w:t>4</w:t>
      </w:r>
      <w:r w:rsidRPr="00FB339A">
        <w:t xml:space="preserve"> The frequency band 2 700-2 900 MHz</w:t>
      </w:r>
    </w:p>
    <w:p w:rsidR="00713F92" w:rsidRDefault="00713F92" w:rsidP="00713F92">
      <w:pPr>
        <w:pStyle w:val="enumlev1"/>
        <w:ind w:left="0" w:firstLine="0"/>
      </w:pPr>
      <w:r>
        <w:t>The RCC</w:t>
      </w:r>
      <w:r w:rsidR="00D35781">
        <w:t> </w:t>
      </w:r>
      <w:r>
        <w:t xml:space="preserve">Administrations object to the primary allocation to the MS and identification for IMT systems in the frequency band </w:t>
      </w:r>
      <w:r w:rsidRPr="00FB339A">
        <w:t xml:space="preserve">2 700-2 900 MHz </w:t>
      </w:r>
      <w:r>
        <w:t>due to the intensive use by the incumbent services and possible unacceptable interference to the stations of these services:</w:t>
      </w:r>
    </w:p>
    <w:p w:rsidR="00713F92" w:rsidRPr="009B5165" w:rsidRDefault="00713F92" w:rsidP="00F502A3">
      <w:pPr>
        <w:pStyle w:val="ListParagraph"/>
        <w:numPr>
          <w:ilvl w:val="0"/>
          <w:numId w:val="13"/>
        </w:numPr>
        <w:spacing w:before="80" w:beforeAutospacing="0"/>
        <w:jc w:val="both"/>
      </w:pPr>
      <w:r w:rsidRPr="009B5165">
        <w:t>2</w:t>
      </w:r>
      <w:r>
        <w:t> </w:t>
      </w:r>
      <w:r w:rsidRPr="009B5165">
        <w:t>700-2</w:t>
      </w:r>
      <w:r>
        <w:t> </w:t>
      </w:r>
      <w:r w:rsidRPr="009B5165">
        <w:t>900 MHz</w:t>
      </w:r>
      <w:r>
        <w:t xml:space="preserve"> </w:t>
      </w:r>
      <w:r w:rsidRPr="009B5165">
        <w:t>and 3</w:t>
      </w:r>
      <w:r>
        <w:t> </w:t>
      </w:r>
      <w:r w:rsidRPr="009B5165">
        <w:t>300-3</w:t>
      </w:r>
      <w:r>
        <w:t> </w:t>
      </w:r>
      <w:r w:rsidRPr="009B5165">
        <w:t>400</w:t>
      </w:r>
      <w:r>
        <w:t> </w:t>
      </w:r>
      <w:r w:rsidRPr="009B5165">
        <w:t xml:space="preserve">MHz used by </w:t>
      </w:r>
      <w:r>
        <w:t xml:space="preserve">the </w:t>
      </w:r>
      <w:r w:rsidRPr="009B5165">
        <w:t>RLS</w:t>
      </w:r>
      <w:r>
        <w:t>.</w:t>
      </w:r>
    </w:p>
    <w:p w:rsidR="000A34A1" w:rsidRPr="00FB339A" w:rsidRDefault="000A34A1" w:rsidP="000A34A1">
      <w:pPr>
        <w:pStyle w:val="Headingb"/>
      </w:pPr>
      <w:r w:rsidRPr="00FB339A">
        <w:t>1.</w:t>
      </w:r>
      <w:r>
        <w:t>5</w:t>
      </w:r>
      <w:r w:rsidRPr="00FB339A">
        <w:t xml:space="preserve"> The frequency band 3 400-4 200 MHz</w:t>
      </w:r>
    </w:p>
    <w:p w:rsidR="00713F92" w:rsidRPr="009B5165" w:rsidRDefault="00713F92" w:rsidP="00F502A3">
      <w:pPr>
        <w:spacing w:before="80" w:beforeAutospacing="0" w:after="120" w:afterAutospacing="0"/>
        <w:jc w:val="both"/>
      </w:pPr>
      <w:r w:rsidRPr="009B5165">
        <w:t>The RCC</w:t>
      </w:r>
      <w:r w:rsidR="00D35781">
        <w:t> </w:t>
      </w:r>
      <w:r w:rsidRPr="009B5165">
        <w:t>Administrations oppose global allocation of the band 3400-3600 MHz to the MS on a primary basis and modification of the allocation conditions for this frequency band,</w:t>
      </w:r>
      <w:r>
        <w:t xml:space="preserve"> </w:t>
      </w:r>
      <w:r w:rsidRPr="009B5165">
        <w:t>established by RR No</w:t>
      </w:r>
      <w:r w:rsidR="00D35781">
        <w:t>. </w:t>
      </w:r>
      <w:r w:rsidRPr="009B5165">
        <w:rPr>
          <w:b/>
        </w:rPr>
        <w:t>5.430A</w:t>
      </w:r>
      <w:r w:rsidRPr="009B5165">
        <w:t>.</w:t>
      </w:r>
    </w:p>
    <w:p w:rsidR="00713F92" w:rsidRPr="009B5165" w:rsidRDefault="00713F92" w:rsidP="00713F92">
      <w:pPr>
        <w:pStyle w:val="enumlev1"/>
        <w:ind w:left="0" w:firstLine="0"/>
      </w:pPr>
      <w:r>
        <w:t>The RCC</w:t>
      </w:r>
      <w:r w:rsidR="00F55772">
        <w:t> </w:t>
      </w:r>
      <w:r>
        <w:t xml:space="preserve">Administrations object to the primary allocation to the MS and identification for IMT systems in the frequency bands </w:t>
      </w:r>
      <w:r w:rsidRPr="009B5165">
        <w:rPr>
          <w:lang w:val="en-US"/>
        </w:rPr>
        <w:t>3</w:t>
      </w:r>
      <w:r>
        <w:rPr>
          <w:lang w:val="en-US"/>
        </w:rPr>
        <w:t> </w:t>
      </w:r>
      <w:r w:rsidRPr="009B5165">
        <w:rPr>
          <w:lang w:val="en-US"/>
        </w:rPr>
        <w:t>600-3</w:t>
      </w:r>
      <w:r>
        <w:rPr>
          <w:lang w:val="en-US"/>
        </w:rPr>
        <w:t> </w:t>
      </w:r>
      <w:r w:rsidRPr="009B5165">
        <w:rPr>
          <w:lang w:val="en-US"/>
        </w:rPr>
        <w:t>700</w:t>
      </w:r>
      <w:r>
        <w:rPr>
          <w:lang w:val="en-US"/>
        </w:rPr>
        <w:t> </w:t>
      </w:r>
      <w:r w:rsidRPr="009B5165">
        <w:rPr>
          <w:lang w:val="en-US"/>
        </w:rPr>
        <w:t>MHz, 3</w:t>
      </w:r>
      <w:r>
        <w:rPr>
          <w:lang w:val="en-US"/>
        </w:rPr>
        <w:t> 7</w:t>
      </w:r>
      <w:r w:rsidRPr="009B5165">
        <w:rPr>
          <w:lang w:val="en-US"/>
        </w:rPr>
        <w:t>00-3</w:t>
      </w:r>
      <w:r>
        <w:rPr>
          <w:lang w:val="en-US"/>
        </w:rPr>
        <w:t> </w:t>
      </w:r>
      <w:r w:rsidRPr="009B5165">
        <w:rPr>
          <w:lang w:val="en-US"/>
        </w:rPr>
        <w:t>800</w:t>
      </w:r>
      <w:r>
        <w:rPr>
          <w:lang w:val="en-US"/>
        </w:rPr>
        <w:t> </w:t>
      </w:r>
      <w:r w:rsidRPr="009B5165">
        <w:rPr>
          <w:lang w:val="en-US"/>
        </w:rPr>
        <w:t>MHz, 3</w:t>
      </w:r>
      <w:r>
        <w:rPr>
          <w:lang w:val="en-US"/>
        </w:rPr>
        <w:t> </w:t>
      </w:r>
      <w:r w:rsidRPr="009B5165">
        <w:rPr>
          <w:lang w:val="en-US"/>
        </w:rPr>
        <w:t>800-4</w:t>
      </w:r>
      <w:r>
        <w:rPr>
          <w:lang w:val="en-US"/>
        </w:rPr>
        <w:t> </w:t>
      </w:r>
      <w:r w:rsidRPr="009B5165">
        <w:rPr>
          <w:lang w:val="en-US"/>
        </w:rPr>
        <w:t>200</w:t>
      </w:r>
      <w:r>
        <w:rPr>
          <w:lang w:val="en-US"/>
        </w:rPr>
        <w:t> </w:t>
      </w:r>
      <w:r w:rsidRPr="009B5165">
        <w:rPr>
          <w:lang w:val="en-US"/>
        </w:rPr>
        <w:t>MHz and 4</w:t>
      </w:r>
      <w:r>
        <w:rPr>
          <w:lang w:val="en-US"/>
        </w:rPr>
        <w:t> </w:t>
      </w:r>
      <w:r w:rsidRPr="009B5165">
        <w:rPr>
          <w:lang w:val="en-US"/>
        </w:rPr>
        <w:t>500-4</w:t>
      </w:r>
      <w:r>
        <w:rPr>
          <w:lang w:val="en-US"/>
        </w:rPr>
        <w:t> </w:t>
      </w:r>
      <w:r w:rsidRPr="009B5165">
        <w:rPr>
          <w:lang w:val="en-US"/>
        </w:rPr>
        <w:t>800</w:t>
      </w:r>
      <w:r>
        <w:rPr>
          <w:lang w:val="en-US"/>
        </w:rPr>
        <w:t> </w:t>
      </w:r>
      <w:r w:rsidRPr="009B5165">
        <w:rPr>
          <w:lang w:val="en-US"/>
        </w:rPr>
        <w:t xml:space="preserve">MHz used by </w:t>
      </w:r>
      <w:r>
        <w:rPr>
          <w:lang w:val="en-US"/>
        </w:rPr>
        <w:t xml:space="preserve">the </w:t>
      </w:r>
      <w:r w:rsidRPr="009B5165">
        <w:rPr>
          <w:lang w:val="en-US"/>
        </w:rPr>
        <w:t>FSS (space-to-Earth)</w:t>
      </w:r>
      <w:r>
        <w:t>.</w:t>
      </w:r>
    </w:p>
    <w:p w:rsidR="000A34A1" w:rsidRPr="00FB339A" w:rsidRDefault="000A34A1" w:rsidP="000A34A1">
      <w:pPr>
        <w:pStyle w:val="Headingb"/>
      </w:pPr>
      <w:r w:rsidRPr="00FB339A">
        <w:t>1.</w:t>
      </w:r>
      <w:r>
        <w:t>6</w:t>
      </w:r>
      <w:r w:rsidRPr="00FB339A">
        <w:t xml:space="preserve"> The frequency band 5 350-5 470 MHz</w:t>
      </w:r>
    </w:p>
    <w:p w:rsidR="00F502A3" w:rsidRPr="009B5165" w:rsidRDefault="00F502A3" w:rsidP="00F502A3">
      <w:pPr>
        <w:spacing w:after="0" w:afterAutospacing="0"/>
        <w:jc w:val="both"/>
      </w:pPr>
      <w:r w:rsidRPr="009B5165">
        <w:t>The RCC</w:t>
      </w:r>
      <w:r w:rsidR="00F55772">
        <w:t> </w:t>
      </w:r>
      <w:r w:rsidRPr="009B5165">
        <w:t>Administrations also oppose the primary MS allocation for use</w:t>
      </w:r>
      <w:r>
        <w:t xml:space="preserve"> </w:t>
      </w:r>
      <w:r w:rsidRPr="009B5165">
        <w:t>by terrestrial broadband systems (e.g. RLAN) in the following frequency bands due to their intense use by existing services and possible unacceptable interference to stations of these services:</w:t>
      </w:r>
    </w:p>
    <w:p w:rsidR="000A34A1" w:rsidRPr="00FB339A" w:rsidRDefault="00F502A3" w:rsidP="00F502A3">
      <w:pPr>
        <w:pStyle w:val="enumlev1"/>
        <w:numPr>
          <w:ilvl w:val="0"/>
          <w:numId w:val="15"/>
        </w:numPr>
        <w:spacing w:after="240"/>
      </w:pPr>
      <w:r w:rsidRPr="009B5165">
        <w:rPr>
          <w:lang w:val="en-US"/>
        </w:rPr>
        <w:t>5</w:t>
      </w:r>
      <w:r>
        <w:rPr>
          <w:lang w:val="en-US"/>
        </w:rPr>
        <w:t> </w:t>
      </w:r>
      <w:r w:rsidRPr="009B5165">
        <w:rPr>
          <w:lang w:val="en-US"/>
        </w:rPr>
        <w:t>350-5</w:t>
      </w:r>
      <w:r>
        <w:rPr>
          <w:lang w:val="en-US"/>
        </w:rPr>
        <w:t> </w:t>
      </w:r>
      <w:r w:rsidRPr="009B5165">
        <w:rPr>
          <w:lang w:val="en-US"/>
        </w:rPr>
        <w:t>470</w:t>
      </w:r>
      <w:r>
        <w:rPr>
          <w:lang w:val="en-US"/>
        </w:rPr>
        <w:t> </w:t>
      </w:r>
      <w:r w:rsidRPr="009B5165">
        <w:rPr>
          <w:lang w:val="en-US"/>
        </w:rPr>
        <w:t xml:space="preserve">MHz used by </w:t>
      </w:r>
      <w:r>
        <w:rPr>
          <w:lang w:val="en-US"/>
        </w:rPr>
        <w:t xml:space="preserve">the </w:t>
      </w:r>
      <w:r w:rsidRPr="009B5165">
        <w:rPr>
          <w:lang w:val="en-US"/>
        </w:rPr>
        <w:t xml:space="preserve">RLS and </w:t>
      </w:r>
      <w:r>
        <w:rPr>
          <w:lang w:val="en-US"/>
        </w:rPr>
        <w:t xml:space="preserve">the </w:t>
      </w:r>
      <w:r w:rsidRPr="009B5165">
        <w:rPr>
          <w:lang w:val="en-US"/>
        </w:rPr>
        <w:t>EESS</w:t>
      </w:r>
      <w:r>
        <w:rPr>
          <w:lang w:val="en-US"/>
        </w:rPr>
        <w:t>.</w:t>
      </w:r>
    </w:p>
    <w:p w:rsidR="000A34A1" w:rsidRDefault="000A34A1" w:rsidP="000A34A1">
      <w:pPr>
        <w:pStyle w:val="Texte"/>
        <w:spacing w:before="60"/>
        <w:jc w:val="left"/>
        <w:rPr>
          <w:rFonts w:ascii="Times New Roman" w:hAnsi="Times New Roman"/>
          <w:sz w:val="24"/>
        </w:rPr>
      </w:pPr>
    </w:p>
    <w:p w:rsidR="000A34A1" w:rsidRPr="00E50048" w:rsidRDefault="000A34A1" w:rsidP="000A34A1">
      <w:pPr>
        <w:pStyle w:val="Heading3"/>
        <w:rPr>
          <w:lang w:val="en-GB"/>
        </w:rPr>
      </w:pPr>
      <w:r w:rsidRPr="00E50048">
        <w:rPr>
          <w:lang w:val="en-GB"/>
        </w:rPr>
        <w:t>2</w:t>
      </w:r>
      <w:r w:rsidRPr="00E50048">
        <w:rPr>
          <w:lang w:val="en-GB"/>
        </w:rPr>
        <w:tab/>
        <w:t>Agenda item 1.6</w:t>
      </w:r>
    </w:p>
    <w:p w:rsidR="000A34A1" w:rsidRPr="00E50048" w:rsidRDefault="000A34A1" w:rsidP="000A34A1">
      <w:pPr>
        <w:rPr>
          <w:i/>
          <w:lang w:val="en-GB"/>
        </w:rPr>
      </w:pPr>
      <w:r w:rsidRPr="00E50048">
        <w:rPr>
          <w:rFonts w:eastAsia="SimSun"/>
          <w:i/>
          <w:lang w:val="en-GB"/>
        </w:rPr>
        <w:t>“</w:t>
      </w:r>
      <w:proofErr w:type="gramStart"/>
      <w:r w:rsidRPr="00E50048">
        <w:rPr>
          <w:rFonts w:eastAsia="SimSun"/>
          <w:i/>
          <w:lang w:val="en-GB"/>
        </w:rPr>
        <w:t>to</w:t>
      </w:r>
      <w:proofErr w:type="gramEnd"/>
      <w:r w:rsidRPr="00E50048">
        <w:rPr>
          <w:rFonts w:eastAsia="SimSun"/>
          <w:i/>
          <w:lang w:val="en-GB"/>
        </w:rPr>
        <w:t xml:space="preserve"> consider possible additional primary allocations:”</w:t>
      </w:r>
    </w:p>
    <w:p w:rsidR="000A34A1" w:rsidRPr="00FB339A" w:rsidRDefault="00E40D8F" w:rsidP="000A34A1">
      <w:pPr>
        <w:pStyle w:val="Headingb"/>
        <w:rPr>
          <w:i/>
        </w:rPr>
      </w:pPr>
      <w:r>
        <w:rPr>
          <w:i/>
        </w:rPr>
        <w:t xml:space="preserve">2.1 </w:t>
      </w:r>
      <w:r w:rsidR="000A34A1" w:rsidRPr="00FB339A">
        <w:rPr>
          <w:i/>
        </w:rPr>
        <w:t>Agenda item 1.6.1</w:t>
      </w:r>
    </w:p>
    <w:p w:rsidR="000A34A1" w:rsidRPr="00E50048" w:rsidRDefault="000A34A1" w:rsidP="000A34A1">
      <w:pPr>
        <w:rPr>
          <w:b/>
          <w:i/>
          <w:lang w:val="en-GB"/>
        </w:rPr>
      </w:pPr>
      <w:r w:rsidRPr="00E50048">
        <w:rPr>
          <w:rFonts w:eastAsia="SimSun"/>
          <w:i/>
          <w:lang w:val="en-GB"/>
        </w:rPr>
        <w:t>“</w:t>
      </w:r>
      <w:proofErr w:type="gramStart"/>
      <w:r w:rsidRPr="00E50048">
        <w:rPr>
          <w:rFonts w:eastAsia="SimSun"/>
          <w:i/>
          <w:lang w:val="en-GB"/>
        </w:rPr>
        <w:t>to</w:t>
      </w:r>
      <w:proofErr w:type="gramEnd"/>
      <w:r w:rsidRPr="00E50048">
        <w:rPr>
          <w:rFonts w:eastAsia="SimSun"/>
          <w:i/>
          <w:lang w:val="en-GB"/>
        </w:rPr>
        <w:t xml:space="preserve"> the fixed-satellite service (Earth-to-space and space-to-Earth) of 250 MHz in the range between 10 GHz and 17 GHz in Region 1 and review the regulatory provisions on the current allocations to the</w:t>
      </w:r>
      <w:r>
        <w:rPr>
          <w:rFonts w:eastAsia="SimSun"/>
          <w:i/>
          <w:lang w:val="en-GB"/>
        </w:rPr>
        <w:t> </w:t>
      </w:r>
      <w:r w:rsidRPr="00E50048">
        <w:rPr>
          <w:rFonts w:eastAsia="SimSun"/>
          <w:i/>
          <w:lang w:val="en-GB"/>
        </w:rPr>
        <w:t>fixed-satellite service within each range, taking into account the results of ITU</w:t>
      </w:r>
      <w:r w:rsidRPr="00E50048">
        <w:rPr>
          <w:rFonts w:eastAsia="SimSun"/>
          <w:i/>
          <w:lang w:val="en-GB"/>
        </w:rPr>
        <w:noBreakHyphen/>
        <w:t>R studies, in accordance with Resolution </w:t>
      </w:r>
      <w:r w:rsidRPr="00E50048">
        <w:rPr>
          <w:rFonts w:eastAsia="SimSun"/>
          <w:b/>
          <w:bCs/>
          <w:i/>
          <w:lang w:val="en-GB"/>
        </w:rPr>
        <w:t>151</w:t>
      </w:r>
      <w:r w:rsidRPr="00E50048">
        <w:rPr>
          <w:b/>
          <w:bCs/>
          <w:i/>
          <w:lang w:val="en-GB"/>
        </w:rPr>
        <w:t> </w:t>
      </w:r>
      <w:r w:rsidRPr="00E50048">
        <w:rPr>
          <w:rFonts w:eastAsia="SimSun"/>
          <w:b/>
          <w:bCs/>
          <w:i/>
          <w:lang w:val="en-GB"/>
        </w:rPr>
        <w:t>(WRC</w:t>
      </w:r>
      <w:r w:rsidRPr="00E50048">
        <w:rPr>
          <w:rFonts w:eastAsia="SimSun"/>
          <w:b/>
          <w:bCs/>
          <w:i/>
          <w:lang w:val="en-GB"/>
        </w:rPr>
        <w:noBreakHyphen/>
        <w:t>12)</w:t>
      </w:r>
      <w:r w:rsidRPr="00E50048">
        <w:rPr>
          <w:rFonts w:eastAsia="SimSun"/>
          <w:i/>
          <w:lang w:val="en-GB"/>
        </w:rPr>
        <w:t>.”</w:t>
      </w:r>
    </w:p>
    <w:p w:rsidR="00F502A3" w:rsidRPr="00E71801" w:rsidRDefault="00F502A3" w:rsidP="00F502A3">
      <w:pPr>
        <w:widowControl w:val="0"/>
        <w:spacing w:before="80" w:beforeAutospacing="0" w:after="0" w:afterAutospacing="0"/>
        <w:jc w:val="both"/>
        <w:rPr>
          <w:color w:val="000000" w:themeColor="text1"/>
        </w:rPr>
      </w:pPr>
      <w:r w:rsidRPr="00E71801">
        <w:rPr>
          <w:color w:val="000000" w:themeColor="text1"/>
        </w:rPr>
        <w:t>The RCC</w:t>
      </w:r>
      <w:r w:rsidR="00F55772">
        <w:rPr>
          <w:color w:val="000000" w:themeColor="text1"/>
        </w:rPr>
        <w:t> </w:t>
      </w:r>
      <w:r w:rsidRPr="00E71801">
        <w:rPr>
          <w:color w:val="000000" w:themeColor="text1"/>
        </w:rPr>
        <w:t>Administrations</w:t>
      </w:r>
      <w:proofErr w:type="gramStart"/>
      <w:r w:rsidRPr="00E71801">
        <w:rPr>
          <w:color w:val="000000" w:themeColor="text1"/>
        </w:rPr>
        <w:t>  are</w:t>
      </w:r>
      <w:proofErr w:type="gramEnd"/>
      <w:r w:rsidRPr="00E71801">
        <w:rPr>
          <w:color w:val="000000" w:themeColor="text1"/>
        </w:rPr>
        <w:t xml:space="preserve"> in </w:t>
      </w:r>
      <w:proofErr w:type="spellStart"/>
      <w:r w:rsidRPr="00E71801">
        <w:rPr>
          <w:color w:val="000000" w:themeColor="text1"/>
        </w:rPr>
        <w:t>favour</w:t>
      </w:r>
      <w:proofErr w:type="spellEnd"/>
      <w:r w:rsidRPr="00E71801">
        <w:rPr>
          <w:color w:val="000000" w:themeColor="text1"/>
        </w:rPr>
        <w:t xml:space="preserve"> of the new primary allocation </w:t>
      </w:r>
      <w:r w:rsidR="00F55772">
        <w:rPr>
          <w:color w:val="000000" w:themeColor="text1"/>
        </w:rPr>
        <w:t xml:space="preserve">of </w:t>
      </w:r>
      <w:r w:rsidR="00F55772" w:rsidRPr="00E71801">
        <w:rPr>
          <w:color w:val="000000" w:themeColor="text1"/>
        </w:rPr>
        <w:t>250</w:t>
      </w:r>
      <w:r w:rsidR="00F55772">
        <w:rPr>
          <w:color w:val="000000" w:themeColor="text1"/>
        </w:rPr>
        <w:t> </w:t>
      </w:r>
      <w:r w:rsidR="00F55772" w:rsidRPr="00E71801">
        <w:rPr>
          <w:color w:val="000000" w:themeColor="text1"/>
        </w:rPr>
        <w:t xml:space="preserve">MHz </w:t>
      </w:r>
      <w:r w:rsidRPr="00E71801">
        <w:rPr>
          <w:color w:val="000000" w:themeColor="text1"/>
        </w:rPr>
        <w:t>to GSO systems in the fixed satellite service (GSO FSS) in both directions (Earth-to-space and space-to-Earth) in the bands 10-17</w:t>
      </w:r>
      <w:r w:rsidR="00C33769">
        <w:rPr>
          <w:color w:val="000000" w:themeColor="text1"/>
        </w:rPr>
        <w:t> </w:t>
      </w:r>
      <w:r w:rsidRPr="00E71801">
        <w:rPr>
          <w:color w:val="000000" w:themeColor="text1"/>
        </w:rPr>
        <w:t>GHz in Region</w:t>
      </w:r>
      <w:r w:rsidR="00F55772">
        <w:rPr>
          <w:color w:val="000000" w:themeColor="text1"/>
        </w:rPr>
        <w:t> </w:t>
      </w:r>
      <w:r w:rsidRPr="00E71801">
        <w:rPr>
          <w:color w:val="000000" w:themeColor="text1"/>
        </w:rPr>
        <w:t>1 subject to protection of incumbent services in the considered and adjacent frequency bands.</w:t>
      </w:r>
    </w:p>
    <w:p w:rsidR="00F502A3" w:rsidRPr="00E71801" w:rsidRDefault="00F502A3" w:rsidP="00F502A3">
      <w:pPr>
        <w:widowControl w:val="0"/>
        <w:spacing w:before="80" w:beforeAutospacing="0" w:after="0" w:afterAutospacing="0"/>
        <w:jc w:val="both"/>
        <w:rPr>
          <w:color w:val="000000" w:themeColor="text1"/>
        </w:rPr>
      </w:pPr>
      <w:r w:rsidRPr="00E71801">
        <w:rPr>
          <w:color w:val="000000" w:themeColor="text1"/>
        </w:rPr>
        <w:t>The RCC</w:t>
      </w:r>
      <w:r w:rsidR="00F55772">
        <w:rPr>
          <w:color w:val="000000" w:themeColor="text1"/>
        </w:rPr>
        <w:t> </w:t>
      </w:r>
      <w:r w:rsidRPr="00E71801">
        <w:rPr>
          <w:color w:val="000000" w:themeColor="text1"/>
        </w:rPr>
        <w:t>Administrations</w:t>
      </w:r>
      <w:proofErr w:type="gramStart"/>
      <w:r w:rsidRPr="00E71801">
        <w:rPr>
          <w:color w:val="000000" w:themeColor="text1"/>
        </w:rPr>
        <w:t>  support</w:t>
      </w:r>
      <w:proofErr w:type="gramEnd"/>
      <w:r w:rsidRPr="00E71801">
        <w:rPr>
          <w:color w:val="000000" w:themeColor="text1"/>
        </w:rPr>
        <w:t xml:space="preserve"> the following frequency bands for the new allocation to GSO FSS in Region</w:t>
      </w:r>
      <w:r w:rsidR="00F55772">
        <w:rPr>
          <w:color w:val="000000" w:themeColor="text1"/>
        </w:rPr>
        <w:t> </w:t>
      </w:r>
      <w:r w:rsidRPr="00E71801">
        <w:rPr>
          <w:color w:val="000000" w:themeColor="text1"/>
        </w:rPr>
        <w:t>1:</w:t>
      </w:r>
    </w:p>
    <w:p w:rsidR="00F502A3" w:rsidRPr="00E71801" w:rsidRDefault="00F502A3" w:rsidP="00F502A3">
      <w:pPr>
        <w:pStyle w:val="ListParagraph"/>
        <w:widowControl w:val="0"/>
        <w:numPr>
          <w:ilvl w:val="0"/>
          <w:numId w:val="17"/>
        </w:numPr>
        <w:spacing w:before="80" w:beforeAutospacing="0" w:after="0" w:afterAutospacing="0"/>
        <w:jc w:val="both"/>
        <w:rPr>
          <w:color w:val="000000" w:themeColor="text1"/>
        </w:rPr>
      </w:pPr>
      <w:r w:rsidRPr="00E71801">
        <w:rPr>
          <w:color w:val="000000" w:themeColor="text1"/>
        </w:rPr>
        <w:t>13.4-13.65</w:t>
      </w:r>
      <w:r w:rsidR="00C33769">
        <w:rPr>
          <w:color w:val="000000" w:themeColor="text1"/>
        </w:rPr>
        <w:t> </w:t>
      </w:r>
      <w:r w:rsidRPr="00E71801">
        <w:rPr>
          <w:color w:val="000000" w:themeColor="text1"/>
        </w:rPr>
        <w:t>GHz or 14,85-15.1</w:t>
      </w:r>
      <w:r w:rsidR="00C33769">
        <w:rPr>
          <w:color w:val="000000" w:themeColor="text1"/>
        </w:rPr>
        <w:t> </w:t>
      </w:r>
      <w:r w:rsidRPr="00E71801">
        <w:rPr>
          <w:color w:val="000000" w:themeColor="text1"/>
        </w:rPr>
        <w:t>GHz (space-to-Earth), based on Methods EE2 or GG2 of  CPM Report;</w:t>
      </w:r>
    </w:p>
    <w:p w:rsidR="00F502A3" w:rsidRPr="00E71801" w:rsidRDefault="00F502A3" w:rsidP="00F502A3">
      <w:pPr>
        <w:pStyle w:val="ListParagraph"/>
        <w:widowControl w:val="0"/>
        <w:numPr>
          <w:ilvl w:val="0"/>
          <w:numId w:val="17"/>
        </w:numPr>
        <w:spacing w:before="0" w:beforeAutospacing="0" w:after="0" w:afterAutospacing="0"/>
        <w:jc w:val="both"/>
        <w:rPr>
          <w:color w:val="000000" w:themeColor="text1"/>
        </w:rPr>
      </w:pPr>
      <w:r w:rsidRPr="00E71801">
        <w:rPr>
          <w:color w:val="000000" w:themeColor="text1"/>
        </w:rPr>
        <w:t>14.5-14.75</w:t>
      </w:r>
      <w:r w:rsidR="00C33769">
        <w:rPr>
          <w:color w:val="000000" w:themeColor="text1"/>
        </w:rPr>
        <w:t> </w:t>
      </w:r>
      <w:r w:rsidRPr="00E71801">
        <w:rPr>
          <w:color w:val="000000" w:themeColor="text1"/>
        </w:rPr>
        <w:t xml:space="preserve">GHz (Earth-to-space), based on </w:t>
      </w:r>
      <w:r w:rsidR="00C33769">
        <w:rPr>
          <w:color w:val="000000" w:themeColor="text1"/>
        </w:rPr>
        <w:t xml:space="preserve">Method F2 of </w:t>
      </w:r>
      <w:r w:rsidRPr="00E71801">
        <w:rPr>
          <w:color w:val="000000" w:themeColor="text1"/>
        </w:rPr>
        <w:t>CPM Report.</w:t>
      </w:r>
    </w:p>
    <w:p w:rsidR="00E71801" w:rsidRDefault="00E71801" w:rsidP="00E71801">
      <w:pPr>
        <w:widowControl w:val="0"/>
        <w:spacing w:before="80" w:beforeAutospacing="0" w:after="0" w:afterAutospacing="0"/>
        <w:jc w:val="both"/>
        <w:rPr>
          <w:color w:val="222222"/>
          <w:lang w:val="en"/>
        </w:rPr>
      </w:pPr>
      <w:r w:rsidRPr="00E71801">
        <w:rPr>
          <w:rStyle w:val="hps"/>
          <w:color w:val="222222"/>
          <w:lang w:val="en"/>
        </w:rPr>
        <w:t>The</w:t>
      </w:r>
      <w:r w:rsidRPr="00E71801">
        <w:rPr>
          <w:color w:val="222222"/>
          <w:lang w:val="en"/>
        </w:rPr>
        <w:t xml:space="preserve"> </w:t>
      </w:r>
      <w:r w:rsidRPr="00E71801">
        <w:rPr>
          <w:rStyle w:val="hps"/>
          <w:color w:val="222222"/>
          <w:lang w:val="en"/>
        </w:rPr>
        <w:t>RCC</w:t>
      </w:r>
      <w:r w:rsidR="00F55772">
        <w:rPr>
          <w:rStyle w:val="hps"/>
          <w:color w:val="222222"/>
          <w:lang w:val="en"/>
        </w:rPr>
        <w:t> </w:t>
      </w:r>
      <w:r w:rsidRPr="00E71801">
        <w:rPr>
          <w:color w:val="222222"/>
          <w:lang w:val="en"/>
        </w:rPr>
        <w:t xml:space="preserve">Administrations </w:t>
      </w:r>
      <w:r>
        <w:rPr>
          <w:color w:val="222222"/>
          <w:lang w:val="en"/>
        </w:rPr>
        <w:t xml:space="preserve">are </w:t>
      </w:r>
      <w:r w:rsidRPr="00E71801">
        <w:rPr>
          <w:rStyle w:val="hps"/>
          <w:color w:val="222222"/>
          <w:lang w:val="en"/>
        </w:rPr>
        <w:t>considering</w:t>
      </w:r>
      <w:r w:rsidRPr="00E71801">
        <w:rPr>
          <w:color w:val="222222"/>
          <w:lang w:val="en"/>
        </w:rPr>
        <w:t xml:space="preserve"> </w:t>
      </w:r>
      <w:r>
        <w:rPr>
          <w:color w:val="222222"/>
          <w:lang w:val="en"/>
        </w:rPr>
        <w:t xml:space="preserve">a </w:t>
      </w:r>
      <w:r w:rsidRPr="00E71801">
        <w:rPr>
          <w:rStyle w:val="hps"/>
          <w:color w:val="222222"/>
          <w:lang w:val="en"/>
        </w:rPr>
        <w:t>new</w:t>
      </w:r>
      <w:r>
        <w:rPr>
          <w:rStyle w:val="hps"/>
          <w:color w:val="222222"/>
          <w:lang w:val="en"/>
        </w:rPr>
        <w:t xml:space="preserve"> allocation of the frequency band</w:t>
      </w:r>
      <w:r w:rsidRPr="00E71801">
        <w:rPr>
          <w:color w:val="222222"/>
          <w:lang w:val="en"/>
        </w:rPr>
        <w:t xml:space="preserve"> </w:t>
      </w:r>
      <w:r w:rsidRPr="00E71801">
        <w:rPr>
          <w:rStyle w:val="hps"/>
          <w:color w:val="222222"/>
          <w:lang w:val="en"/>
        </w:rPr>
        <w:t>13</w:t>
      </w:r>
      <w:r w:rsidR="00C33769">
        <w:rPr>
          <w:rStyle w:val="hps"/>
          <w:color w:val="222222"/>
          <w:lang w:val="en"/>
        </w:rPr>
        <w:t>.</w:t>
      </w:r>
      <w:r w:rsidRPr="00E71801">
        <w:rPr>
          <w:rStyle w:val="hps"/>
          <w:color w:val="222222"/>
          <w:lang w:val="en"/>
        </w:rPr>
        <w:t>4-13</w:t>
      </w:r>
      <w:r w:rsidR="00C33769">
        <w:rPr>
          <w:rStyle w:val="hps"/>
          <w:color w:val="222222"/>
          <w:lang w:val="en"/>
        </w:rPr>
        <w:t>.</w:t>
      </w:r>
      <w:r w:rsidRPr="00E71801">
        <w:rPr>
          <w:rStyle w:val="hps"/>
          <w:color w:val="222222"/>
          <w:lang w:val="en"/>
        </w:rPr>
        <w:t>65</w:t>
      </w:r>
      <w:r w:rsidR="00C33769">
        <w:rPr>
          <w:rStyle w:val="hps"/>
          <w:color w:val="222222"/>
          <w:lang w:val="en"/>
        </w:rPr>
        <w:t> </w:t>
      </w:r>
      <w:r w:rsidRPr="00E71801">
        <w:rPr>
          <w:rStyle w:val="hps"/>
          <w:color w:val="222222"/>
          <w:lang w:val="en"/>
        </w:rPr>
        <w:t>GHz for</w:t>
      </w:r>
      <w:r w:rsidRPr="00E71801">
        <w:rPr>
          <w:color w:val="222222"/>
          <w:lang w:val="en"/>
        </w:rPr>
        <w:t xml:space="preserve"> </w:t>
      </w:r>
      <w:r w:rsidRPr="00E71801">
        <w:rPr>
          <w:rStyle w:val="hps"/>
          <w:color w:val="222222"/>
          <w:lang w:val="en"/>
        </w:rPr>
        <w:t>GSO FSS</w:t>
      </w:r>
      <w:r w:rsidRPr="00E71801">
        <w:rPr>
          <w:color w:val="222222"/>
          <w:lang w:val="en"/>
        </w:rPr>
        <w:t xml:space="preserve"> </w:t>
      </w:r>
      <w:r w:rsidRPr="00E71801">
        <w:rPr>
          <w:rStyle w:val="hps"/>
          <w:color w:val="222222"/>
          <w:lang w:val="en"/>
        </w:rPr>
        <w:t>(</w:t>
      </w:r>
      <w:r w:rsidRPr="00E71801">
        <w:rPr>
          <w:rStyle w:val="atn"/>
          <w:color w:val="222222"/>
          <w:lang w:val="en"/>
        </w:rPr>
        <w:t>space-to-</w:t>
      </w:r>
      <w:r w:rsidRPr="00E71801">
        <w:rPr>
          <w:color w:val="222222"/>
          <w:lang w:val="en"/>
        </w:rPr>
        <w:t xml:space="preserve">Earth) </w:t>
      </w:r>
      <w:r w:rsidRPr="00E71801">
        <w:rPr>
          <w:rStyle w:val="hps"/>
          <w:color w:val="222222"/>
          <w:lang w:val="en"/>
        </w:rPr>
        <w:t>as the preferred</w:t>
      </w:r>
      <w:r>
        <w:rPr>
          <w:rStyle w:val="hps"/>
          <w:color w:val="222222"/>
          <w:lang w:val="en"/>
        </w:rPr>
        <w:t xml:space="preserve"> one</w:t>
      </w:r>
      <w:r w:rsidRPr="00E71801">
        <w:rPr>
          <w:color w:val="222222"/>
          <w:lang w:val="en"/>
        </w:rPr>
        <w:t xml:space="preserve">, </w:t>
      </w:r>
      <w:r>
        <w:rPr>
          <w:color w:val="222222"/>
          <w:lang w:val="en"/>
        </w:rPr>
        <w:t>taking into account</w:t>
      </w:r>
      <w:r w:rsidRPr="00E71801">
        <w:rPr>
          <w:color w:val="222222"/>
          <w:lang w:val="en"/>
        </w:rPr>
        <w:t xml:space="preserve"> the </w:t>
      </w:r>
      <w:r w:rsidRPr="00E71801">
        <w:rPr>
          <w:rStyle w:val="hps"/>
          <w:color w:val="222222"/>
          <w:lang w:val="en"/>
        </w:rPr>
        <w:t>advantages of</w:t>
      </w:r>
      <w:r w:rsidRPr="00E71801">
        <w:rPr>
          <w:color w:val="222222"/>
          <w:lang w:val="en"/>
        </w:rPr>
        <w:t xml:space="preserve"> </w:t>
      </w:r>
      <w:r w:rsidRPr="00E71801">
        <w:rPr>
          <w:rStyle w:val="hps"/>
          <w:color w:val="222222"/>
          <w:lang w:val="en"/>
        </w:rPr>
        <w:t>the technical implementation of</w:t>
      </w:r>
      <w:r w:rsidRPr="00E71801">
        <w:rPr>
          <w:color w:val="222222"/>
          <w:lang w:val="en"/>
        </w:rPr>
        <w:t xml:space="preserve"> </w:t>
      </w:r>
      <w:r w:rsidRPr="00E71801">
        <w:rPr>
          <w:rStyle w:val="hps"/>
          <w:color w:val="222222"/>
          <w:lang w:val="en"/>
        </w:rPr>
        <w:t>FSS systems</w:t>
      </w:r>
      <w:r w:rsidRPr="00E71801">
        <w:rPr>
          <w:color w:val="222222"/>
          <w:lang w:val="en"/>
        </w:rPr>
        <w:t xml:space="preserve"> </w:t>
      </w:r>
      <w:r w:rsidRPr="00E71801">
        <w:rPr>
          <w:rStyle w:val="hps"/>
          <w:color w:val="222222"/>
          <w:lang w:val="en"/>
        </w:rPr>
        <w:t>in this band</w:t>
      </w:r>
      <w:r w:rsidRPr="00E71801">
        <w:rPr>
          <w:color w:val="222222"/>
          <w:lang w:val="en"/>
        </w:rPr>
        <w:t xml:space="preserve">, as well as </w:t>
      </w:r>
      <w:r w:rsidRPr="00E71801">
        <w:rPr>
          <w:rStyle w:val="hps"/>
          <w:color w:val="222222"/>
          <w:lang w:val="en"/>
        </w:rPr>
        <w:t>taking into</w:t>
      </w:r>
      <w:r w:rsidRPr="00E71801">
        <w:rPr>
          <w:color w:val="222222"/>
          <w:lang w:val="en"/>
        </w:rPr>
        <w:t xml:space="preserve"> </w:t>
      </w:r>
      <w:r w:rsidRPr="00E71801">
        <w:rPr>
          <w:rStyle w:val="hps"/>
          <w:color w:val="222222"/>
          <w:lang w:val="en"/>
        </w:rPr>
        <w:t>account the intensive</w:t>
      </w:r>
      <w:r w:rsidRPr="00E71801">
        <w:rPr>
          <w:color w:val="222222"/>
          <w:lang w:val="en"/>
        </w:rPr>
        <w:t xml:space="preserve"> </w:t>
      </w:r>
      <w:r w:rsidRPr="00E71801">
        <w:rPr>
          <w:rStyle w:val="hps"/>
          <w:color w:val="222222"/>
          <w:lang w:val="en"/>
        </w:rPr>
        <w:t xml:space="preserve">use of the </w:t>
      </w:r>
      <w:r>
        <w:rPr>
          <w:rStyle w:val="hps"/>
          <w:color w:val="222222"/>
          <w:lang w:val="en"/>
        </w:rPr>
        <w:lastRenderedPageBreak/>
        <w:t xml:space="preserve">frequency </w:t>
      </w:r>
      <w:r w:rsidRPr="00E71801">
        <w:rPr>
          <w:rStyle w:val="hps"/>
          <w:color w:val="222222"/>
          <w:lang w:val="en"/>
        </w:rPr>
        <w:t>band</w:t>
      </w:r>
      <w:r w:rsidRPr="00E71801">
        <w:rPr>
          <w:color w:val="222222"/>
          <w:lang w:val="en"/>
        </w:rPr>
        <w:t xml:space="preserve"> </w:t>
      </w:r>
      <w:r w:rsidRPr="00E71801">
        <w:rPr>
          <w:rStyle w:val="hps"/>
          <w:color w:val="222222"/>
          <w:lang w:val="en"/>
        </w:rPr>
        <w:t>14</w:t>
      </w:r>
      <w:r w:rsidR="00C33769">
        <w:rPr>
          <w:rStyle w:val="hps"/>
          <w:color w:val="222222"/>
          <w:lang w:val="en"/>
        </w:rPr>
        <w:t>.85-15.</w:t>
      </w:r>
      <w:r w:rsidRPr="00E71801">
        <w:rPr>
          <w:rStyle w:val="hps"/>
          <w:color w:val="222222"/>
          <w:lang w:val="en"/>
        </w:rPr>
        <w:t>1</w:t>
      </w:r>
      <w:r w:rsidR="00C33769">
        <w:rPr>
          <w:rStyle w:val="hps"/>
          <w:color w:val="222222"/>
          <w:lang w:val="en"/>
        </w:rPr>
        <w:t> </w:t>
      </w:r>
      <w:r w:rsidRPr="00E71801">
        <w:rPr>
          <w:rStyle w:val="hps"/>
          <w:color w:val="222222"/>
          <w:lang w:val="en"/>
        </w:rPr>
        <w:t>GHz</w:t>
      </w:r>
      <w:r w:rsidRPr="00E71801">
        <w:rPr>
          <w:color w:val="222222"/>
          <w:lang w:val="en"/>
        </w:rPr>
        <w:t xml:space="preserve"> </w:t>
      </w:r>
      <w:r>
        <w:rPr>
          <w:color w:val="222222"/>
          <w:lang w:val="en"/>
        </w:rPr>
        <w:t xml:space="preserve">by </w:t>
      </w:r>
      <w:r w:rsidRPr="00E71801">
        <w:rPr>
          <w:rStyle w:val="hps"/>
          <w:color w:val="222222"/>
          <w:lang w:val="en"/>
        </w:rPr>
        <w:t>stations in the fixed</w:t>
      </w:r>
      <w:r w:rsidRPr="00E71801">
        <w:rPr>
          <w:color w:val="222222"/>
          <w:lang w:val="en"/>
        </w:rPr>
        <w:t xml:space="preserve"> </w:t>
      </w:r>
      <w:r w:rsidRPr="00E71801">
        <w:rPr>
          <w:rStyle w:val="hps"/>
          <w:color w:val="222222"/>
          <w:lang w:val="en"/>
        </w:rPr>
        <w:t>service</w:t>
      </w:r>
      <w:r w:rsidRPr="00E71801">
        <w:rPr>
          <w:color w:val="222222"/>
          <w:lang w:val="en"/>
        </w:rPr>
        <w:t>.</w:t>
      </w:r>
    </w:p>
    <w:p w:rsidR="00F502A3" w:rsidRDefault="00F502A3" w:rsidP="00C33769">
      <w:pPr>
        <w:widowControl w:val="0"/>
        <w:spacing w:before="80" w:beforeAutospacing="0" w:after="0" w:afterAutospacing="0"/>
        <w:jc w:val="both"/>
        <w:rPr>
          <w:color w:val="000000" w:themeColor="text1"/>
        </w:rPr>
      </w:pPr>
      <w:r w:rsidRPr="00E71801">
        <w:rPr>
          <w:color w:val="000000" w:themeColor="text1"/>
        </w:rPr>
        <w:t xml:space="preserve">The new GSO FSS allocation shall not impose </w:t>
      </w:r>
      <w:r w:rsidR="00022D34" w:rsidRPr="00E71801">
        <w:rPr>
          <w:color w:val="000000" w:themeColor="text1"/>
        </w:rPr>
        <w:t>substantial</w:t>
      </w:r>
      <w:r w:rsidRPr="00E71801">
        <w:rPr>
          <w:color w:val="000000" w:themeColor="text1"/>
        </w:rPr>
        <w:t xml:space="preserve"> additional constraints to existing frequency assignments or prevent development of the FS.</w:t>
      </w:r>
    </w:p>
    <w:p w:rsidR="00C33769" w:rsidRPr="00C33769" w:rsidRDefault="00C33769" w:rsidP="00C33769">
      <w:pPr>
        <w:widowControl w:val="0"/>
        <w:spacing w:before="80" w:beforeAutospacing="0"/>
        <w:jc w:val="both"/>
        <w:rPr>
          <w:color w:val="000000" w:themeColor="text1"/>
          <w:sz w:val="22"/>
          <w:szCs w:val="22"/>
        </w:rPr>
      </w:pPr>
      <w:r w:rsidRPr="009B5165">
        <w:rPr>
          <w:color w:val="000000" w:themeColor="text1"/>
        </w:rPr>
        <w:t>The RCC</w:t>
      </w:r>
      <w:r w:rsidR="00F55772">
        <w:rPr>
          <w:color w:val="000000" w:themeColor="text1"/>
        </w:rPr>
        <w:t> </w:t>
      </w:r>
      <w:r w:rsidRPr="009B5165">
        <w:rPr>
          <w:color w:val="000000" w:themeColor="text1"/>
        </w:rPr>
        <w:t>Administrations oppose allocation of the frequency bands 13.4-13.75</w:t>
      </w:r>
      <w:r>
        <w:rPr>
          <w:color w:val="000000" w:themeColor="text1"/>
        </w:rPr>
        <w:t> </w:t>
      </w:r>
      <w:r w:rsidRPr="009B5165">
        <w:rPr>
          <w:color w:val="000000" w:themeColor="text1"/>
        </w:rPr>
        <w:t>GHz and 14.8-15.35</w:t>
      </w:r>
      <w:r>
        <w:rPr>
          <w:color w:val="000000" w:themeColor="text1"/>
        </w:rPr>
        <w:t> </w:t>
      </w:r>
      <w:r w:rsidRPr="009B5165">
        <w:rPr>
          <w:color w:val="000000" w:themeColor="text1"/>
        </w:rPr>
        <w:t xml:space="preserve">GHz </w:t>
      </w:r>
      <w:r>
        <w:rPr>
          <w:color w:val="000000" w:themeColor="text1"/>
        </w:rPr>
        <w:t xml:space="preserve">to </w:t>
      </w:r>
      <w:r w:rsidRPr="009B5165">
        <w:rPr>
          <w:color w:val="000000" w:themeColor="text1"/>
        </w:rPr>
        <w:t>the GSO FSS (Earth-to-space) in Region</w:t>
      </w:r>
      <w:r w:rsidR="00F55772">
        <w:rPr>
          <w:color w:val="000000" w:themeColor="text1"/>
        </w:rPr>
        <w:t> </w:t>
      </w:r>
      <w:r w:rsidRPr="009B5165">
        <w:rPr>
          <w:color w:val="000000" w:themeColor="text1"/>
        </w:rPr>
        <w:t>1.</w:t>
      </w:r>
    </w:p>
    <w:p w:rsidR="000A34A1" w:rsidRPr="00FB339A" w:rsidRDefault="00E40D8F" w:rsidP="000A34A1">
      <w:pPr>
        <w:pStyle w:val="Headingb"/>
        <w:rPr>
          <w:i/>
        </w:rPr>
      </w:pPr>
      <w:r>
        <w:rPr>
          <w:i/>
        </w:rPr>
        <w:t xml:space="preserve">2.2 </w:t>
      </w:r>
      <w:r w:rsidR="000A34A1" w:rsidRPr="00FB339A">
        <w:rPr>
          <w:i/>
        </w:rPr>
        <w:t>Agenda item 1.6.2</w:t>
      </w:r>
    </w:p>
    <w:p w:rsidR="000A34A1" w:rsidRPr="00E50048" w:rsidRDefault="000A34A1" w:rsidP="000A34A1">
      <w:pPr>
        <w:rPr>
          <w:b/>
          <w:i/>
          <w:lang w:val="en-GB"/>
        </w:rPr>
      </w:pPr>
      <w:r w:rsidRPr="00E50048">
        <w:rPr>
          <w:rFonts w:eastAsia="SimSun"/>
          <w:i/>
          <w:lang w:val="en-GB"/>
        </w:rPr>
        <w:t>“</w:t>
      </w:r>
      <w:proofErr w:type="gramStart"/>
      <w:r w:rsidRPr="00E50048">
        <w:rPr>
          <w:rFonts w:eastAsia="SimSun"/>
          <w:i/>
          <w:lang w:val="en-GB"/>
        </w:rPr>
        <w:t>to</w:t>
      </w:r>
      <w:proofErr w:type="gramEnd"/>
      <w:r w:rsidRPr="00E50048">
        <w:rPr>
          <w:rFonts w:eastAsia="SimSun"/>
          <w:i/>
          <w:lang w:val="en-GB"/>
        </w:rPr>
        <w:t xml:space="preserve"> the fixed-satellite service (Earth-to-space) of 250 MHz in Region 2 and 300 MHz in Region 3 within the range 13-17 GHz and review the regulatory provisions on the current allocations to </w:t>
      </w:r>
      <w:r w:rsidRPr="00E50048">
        <w:rPr>
          <w:rFonts w:eastAsia="SimSun"/>
          <w:i/>
          <w:lang w:val="en-GB"/>
        </w:rPr>
        <w:br/>
        <w:t>the fixed-satellite service within each range, taking into account the results of ITU</w:t>
      </w:r>
      <w:r w:rsidRPr="00E50048">
        <w:rPr>
          <w:rFonts w:eastAsia="SimSun"/>
          <w:i/>
          <w:lang w:val="en-GB"/>
        </w:rPr>
        <w:noBreakHyphen/>
        <w:t>R studies, in accordance with Resolution </w:t>
      </w:r>
      <w:r w:rsidRPr="00E50048">
        <w:rPr>
          <w:rFonts w:eastAsia="SimSun"/>
          <w:b/>
          <w:bCs/>
          <w:i/>
          <w:lang w:val="en-GB"/>
        </w:rPr>
        <w:t>152</w:t>
      </w:r>
      <w:r w:rsidRPr="00E50048">
        <w:rPr>
          <w:b/>
          <w:bCs/>
          <w:i/>
          <w:lang w:val="en-GB"/>
        </w:rPr>
        <w:t> </w:t>
      </w:r>
      <w:r w:rsidRPr="00E50048">
        <w:rPr>
          <w:rFonts w:eastAsia="SimSun"/>
          <w:b/>
          <w:bCs/>
          <w:i/>
          <w:lang w:val="en-GB"/>
        </w:rPr>
        <w:t>(WRC</w:t>
      </w:r>
      <w:r w:rsidRPr="00E50048">
        <w:rPr>
          <w:rFonts w:eastAsia="SimSun"/>
          <w:b/>
          <w:bCs/>
          <w:i/>
          <w:lang w:val="en-GB"/>
        </w:rPr>
        <w:noBreakHyphen/>
        <w:t>12)</w:t>
      </w:r>
      <w:r w:rsidRPr="00E50048">
        <w:rPr>
          <w:rFonts w:eastAsia="SimSun"/>
          <w:i/>
          <w:lang w:val="en-GB"/>
        </w:rPr>
        <w:t>.”</w:t>
      </w:r>
    </w:p>
    <w:p w:rsidR="00F55772" w:rsidRPr="009B5165" w:rsidRDefault="00F55772" w:rsidP="00F55772">
      <w:pPr>
        <w:widowControl w:val="0"/>
        <w:spacing w:before="80" w:beforeAutospacing="0" w:after="0" w:afterAutospacing="0"/>
        <w:jc w:val="both"/>
        <w:rPr>
          <w:color w:val="000000" w:themeColor="text1"/>
        </w:rPr>
      </w:pPr>
      <w:r w:rsidRPr="009B5165">
        <w:rPr>
          <w:color w:val="000000" w:themeColor="text1"/>
        </w:rPr>
        <w:t>The RСС</w:t>
      </w:r>
      <w:r>
        <w:rPr>
          <w:color w:val="000000" w:themeColor="text1"/>
        </w:rPr>
        <w:t> </w:t>
      </w:r>
      <w:r w:rsidRPr="009B5165">
        <w:rPr>
          <w:color w:val="000000" w:themeColor="text1"/>
        </w:rPr>
        <w:t>Administrations consider that with</w:t>
      </w:r>
      <w:r>
        <w:rPr>
          <w:color w:val="000000" w:themeColor="text1"/>
        </w:rPr>
        <w:t xml:space="preserve"> </w:t>
      </w:r>
      <w:r w:rsidRPr="009B5165">
        <w:rPr>
          <w:color w:val="000000" w:themeColor="text1"/>
        </w:rPr>
        <w:t>the new primary allocation of 250</w:t>
      </w:r>
      <w:r>
        <w:rPr>
          <w:color w:val="000000" w:themeColor="text1"/>
        </w:rPr>
        <w:t> </w:t>
      </w:r>
      <w:r w:rsidRPr="009B5165">
        <w:rPr>
          <w:color w:val="000000" w:themeColor="text1"/>
        </w:rPr>
        <w:t>MHz to GSO FSS</w:t>
      </w:r>
      <w:r>
        <w:rPr>
          <w:color w:val="000000" w:themeColor="text1"/>
        </w:rPr>
        <w:t> </w:t>
      </w:r>
      <w:r w:rsidRPr="009B5165">
        <w:rPr>
          <w:color w:val="000000" w:themeColor="text1"/>
        </w:rPr>
        <w:t>(Earth-to-space) in Region</w:t>
      </w:r>
      <w:r>
        <w:rPr>
          <w:color w:val="000000" w:themeColor="text1"/>
        </w:rPr>
        <w:t> </w:t>
      </w:r>
      <w:r w:rsidRPr="009B5165">
        <w:rPr>
          <w:color w:val="000000" w:themeColor="text1"/>
        </w:rPr>
        <w:t>2 and 300</w:t>
      </w:r>
      <w:r>
        <w:rPr>
          <w:color w:val="000000" w:themeColor="text1"/>
        </w:rPr>
        <w:t> </w:t>
      </w:r>
      <w:r w:rsidRPr="009B5165">
        <w:rPr>
          <w:color w:val="000000" w:themeColor="text1"/>
        </w:rPr>
        <w:t>MHz in Region</w:t>
      </w:r>
      <w:r>
        <w:rPr>
          <w:color w:val="000000" w:themeColor="text1"/>
        </w:rPr>
        <w:t> </w:t>
      </w:r>
      <w:r w:rsidRPr="009B5165">
        <w:rPr>
          <w:color w:val="000000" w:themeColor="text1"/>
        </w:rPr>
        <w:t>3 in frequency bands between 13 and 17</w:t>
      </w:r>
      <w:r>
        <w:rPr>
          <w:color w:val="000000" w:themeColor="text1"/>
        </w:rPr>
        <w:t> </w:t>
      </w:r>
      <w:r w:rsidRPr="009B5165">
        <w:rPr>
          <w:color w:val="000000" w:themeColor="text1"/>
        </w:rPr>
        <w:t>GHz,</w:t>
      </w:r>
      <w:r>
        <w:rPr>
          <w:color w:val="000000" w:themeColor="text1"/>
        </w:rPr>
        <w:t xml:space="preserve"> </w:t>
      </w:r>
      <w:r w:rsidRPr="009B5165">
        <w:rPr>
          <w:color w:val="000000" w:themeColor="text1"/>
        </w:rPr>
        <w:t>incumbent services which have allocations in these frequency bands in Region</w:t>
      </w:r>
      <w:r>
        <w:rPr>
          <w:color w:val="000000" w:themeColor="text1"/>
        </w:rPr>
        <w:t> </w:t>
      </w:r>
      <w:r w:rsidRPr="009B5165">
        <w:rPr>
          <w:color w:val="000000" w:themeColor="text1"/>
        </w:rPr>
        <w:t>1 should be protected.</w:t>
      </w:r>
    </w:p>
    <w:p w:rsidR="00F55772" w:rsidRPr="009B5165" w:rsidRDefault="00F55772" w:rsidP="00F55772">
      <w:pPr>
        <w:widowControl w:val="0"/>
        <w:spacing w:before="80" w:beforeAutospacing="0" w:after="0" w:afterAutospacing="0"/>
        <w:jc w:val="both"/>
        <w:rPr>
          <w:color w:val="000000" w:themeColor="text1"/>
        </w:rPr>
      </w:pPr>
      <w:r w:rsidRPr="009B5165">
        <w:rPr>
          <w:color w:val="000000" w:themeColor="text1"/>
        </w:rPr>
        <w:t>The RCC</w:t>
      </w:r>
      <w:r>
        <w:rPr>
          <w:color w:val="000000" w:themeColor="text1"/>
        </w:rPr>
        <w:t> </w:t>
      </w:r>
      <w:r w:rsidRPr="009B5165">
        <w:rPr>
          <w:color w:val="000000" w:themeColor="text1"/>
        </w:rPr>
        <w:t>Administrations have no objections to the new allocation of the frequency band 14.5-14.</w:t>
      </w:r>
      <w:r>
        <w:rPr>
          <w:color w:val="000000" w:themeColor="text1"/>
        </w:rPr>
        <w:t>75 </w:t>
      </w:r>
      <w:r w:rsidRPr="009B5165">
        <w:rPr>
          <w:color w:val="000000" w:themeColor="text1"/>
        </w:rPr>
        <w:t>GHz for GSO FSS (Earth-to-space)</w:t>
      </w:r>
      <w:r>
        <w:rPr>
          <w:color w:val="000000" w:themeColor="text1"/>
        </w:rPr>
        <w:t xml:space="preserve"> </w:t>
      </w:r>
      <w:r w:rsidRPr="009B5165">
        <w:rPr>
          <w:color w:val="000000" w:themeColor="text1"/>
        </w:rPr>
        <w:t>on a primary basis in Region</w:t>
      </w:r>
      <w:r>
        <w:rPr>
          <w:color w:val="000000" w:themeColor="text1"/>
        </w:rPr>
        <w:t> </w:t>
      </w:r>
      <w:r w:rsidRPr="009B5165">
        <w:rPr>
          <w:color w:val="000000" w:themeColor="text1"/>
        </w:rPr>
        <w:t>2 and</w:t>
      </w:r>
      <w:r>
        <w:rPr>
          <w:color w:val="000000" w:themeColor="text1"/>
        </w:rPr>
        <w:t xml:space="preserve"> 14.5-14.8 GHz in Region </w:t>
      </w:r>
      <w:r w:rsidRPr="009B5165">
        <w:rPr>
          <w:color w:val="000000" w:themeColor="text1"/>
        </w:rPr>
        <w:t xml:space="preserve">3, </w:t>
      </w:r>
      <w:r>
        <w:rPr>
          <w:color w:val="000000" w:themeColor="text1"/>
        </w:rPr>
        <w:t xml:space="preserve">based on </w:t>
      </w:r>
      <w:r w:rsidRPr="009B5165">
        <w:rPr>
          <w:color w:val="000000" w:themeColor="text1"/>
        </w:rPr>
        <w:t xml:space="preserve">Method F2 </w:t>
      </w:r>
      <w:proofErr w:type="gramStart"/>
      <w:r w:rsidRPr="009B5165">
        <w:rPr>
          <w:color w:val="000000" w:themeColor="text1"/>
        </w:rPr>
        <w:t>of  CPM</w:t>
      </w:r>
      <w:proofErr w:type="gramEnd"/>
      <w:r w:rsidRPr="009B5165">
        <w:rPr>
          <w:color w:val="000000" w:themeColor="text1"/>
        </w:rPr>
        <w:t xml:space="preserve"> Report.</w:t>
      </w:r>
    </w:p>
    <w:p w:rsidR="00F55772" w:rsidRPr="009B5165" w:rsidRDefault="00F55772" w:rsidP="00F55772">
      <w:pPr>
        <w:widowControl w:val="0"/>
        <w:spacing w:before="80" w:beforeAutospacing="0" w:after="0" w:afterAutospacing="0"/>
        <w:jc w:val="both"/>
        <w:rPr>
          <w:color w:val="000000" w:themeColor="text1"/>
        </w:rPr>
      </w:pPr>
      <w:r w:rsidRPr="009B5165">
        <w:rPr>
          <w:color w:val="000000" w:themeColor="text1"/>
        </w:rPr>
        <w:t>The RCC</w:t>
      </w:r>
      <w:r>
        <w:rPr>
          <w:color w:val="000000" w:themeColor="text1"/>
        </w:rPr>
        <w:t> </w:t>
      </w:r>
      <w:r w:rsidRPr="009B5165">
        <w:rPr>
          <w:color w:val="000000" w:themeColor="text1"/>
        </w:rPr>
        <w:t>Administrations oppose allocation of the frequency bands 13.4-13.75</w:t>
      </w:r>
      <w:r>
        <w:rPr>
          <w:color w:val="000000" w:themeColor="text1"/>
        </w:rPr>
        <w:t> </w:t>
      </w:r>
      <w:r w:rsidRPr="009B5165">
        <w:rPr>
          <w:color w:val="000000" w:themeColor="text1"/>
        </w:rPr>
        <w:t>GHz and 14.8-15.35</w:t>
      </w:r>
      <w:r>
        <w:rPr>
          <w:color w:val="000000" w:themeColor="text1"/>
        </w:rPr>
        <w:t> </w:t>
      </w:r>
      <w:r w:rsidRPr="009B5165">
        <w:rPr>
          <w:color w:val="000000" w:themeColor="text1"/>
        </w:rPr>
        <w:t>GHz for GSO FSS</w:t>
      </w:r>
      <w:r>
        <w:rPr>
          <w:color w:val="000000" w:themeColor="text1"/>
        </w:rPr>
        <w:t> </w:t>
      </w:r>
      <w:r w:rsidRPr="009B5165">
        <w:rPr>
          <w:color w:val="000000" w:themeColor="text1"/>
        </w:rPr>
        <w:t>(Earth-to-space) in Regions</w:t>
      </w:r>
      <w:r>
        <w:rPr>
          <w:color w:val="000000" w:themeColor="text1"/>
        </w:rPr>
        <w:t> </w:t>
      </w:r>
      <w:r w:rsidRPr="009B5165">
        <w:rPr>
          <w:color w:val="000000" w:themeColor="text1"/>
        </w:rPr>
        <w:t>2 and 3.</w:t>
      </w:r>
    </w:p>
    <w:p w:rsidR="000A34A1" w:rsidRPr="00FB339A" w:rsidRDefault="00E40D8F" w:rsidP="000A34A1">
      <w:pPr>
        <w:pStyle w:val="enumlev1"/>
        <w:spacing w:before="160"/>
        <w:ind w:left="1138" w:hanging="1138"/>
        <w:rPr>
          <w:b/>
        </w:rPr>
      </w:pPr>
      <w:r>
        <w:rPr>
          <w:b/>
        </w:rPr>
        <w:t xml:space="preserve">2.3 </w:t>
      </w:r>
      <w:r w:rsidR="00D35781">
        <w:rPr>
          <w:b/>
        </w:rPr>
        <w:t xml:space="preserve">The RCC Administration General </w:t>
      </w:r>
      <w:r w:rsidR="000A34A1" w:rsidRPr="00FB339A">
        <w:rPr>
          <w:b/>
        </w:rPr>
        <w:t xml:space="preserve">Position </w:t>
      </w:r>
      <w:r w:rsidR="00D35781">
        <w:rPr>
          <w:b/>
        </w:rPr>
        <w:t>on Agenda items 1.6.1 and 1.6.2</w:t>
      </w:r>
    </w:p>
    <w:p w:rsidR="00D35781" w:rsidRPr="00A53187" w:rsidRDefault="00D35781" w:rsidP="00D35781">
      <w:pPr>
        <w:spacing w:before="80" w:beforeAutospacing="0" w:after="0" w:afterAutospacing="0"/>
        <w:jc w:val="both"/>
        <w:rPr>
          <w:color w:val="000000" w:themeColor="text1"/>
        </w:rPr>
      </w:pPr>
      <w:r w:rsidRPr="00A53187">
        <w:rPr>
          <w:color w:val="000000" w:themeColor="text1"/>
        </w:rPr>
        <w:t>New FSS allocations are preferable in frequency bands which are contiguous with the existing FSS allocations, and also in frequency bands, where the allocation is possible on the worldwide basis.</w:t>
      </w:r>
    </w:p>
    <w:p w:rsidR="00D35781" w:rsidRPr="00A53187" w:rsidRDefault="00D35781" w:rsidP="00D35781">
      <w:pPr>
        <w:spacing w:before="80" w:beforeAutospacing="0" w:after="0" w:afterAutospacing="0"/>
        <w:jc w:val="both"/>
        <w:rPr>
          <w:color w:val="000000" w:themeColor="text1"/>
        </w:rPr>
      </w:pPr>
      <w:r w:rsidRPr="00A53187">
        <w:rPr>
          <w:color w:val="000000" w:themeColor="text1"/>
        </w:rPr>
        <w:t>The RСС</w:t>
      </w:r>
      <w:r>
        <w:rPr>
          <w:color w:val="000000" w:themeColor="text1"/>
        </w:rPr>
        <w:t> </w:t>
      </w:r>
      <w:r w:rsidRPr="00A53187">
        <w:rPr>
          <w:color w:val="000000" w:themeColor="text1"/>
        </w:rPr>
        <w:t>Administrations consider that allocation of additional spectrum for the GSO FSS on the worldwide basis (in all three Regions) has advantage over regional allocation (in one Region) when planning satellite communication networks and providing efficient territory coverage.</w:t>
      </w:r>
    </w:p>
    <w:p w:rsidR="00D35781" w:rsidRPr="00A53187" w:rsidRDefault="00D35781" w:rsidP="00D35781">
      <w:pPr>
        <w:spacing w:before="80" w:beforeAutospacing="0" w:after="0" w:afterAutospacing="0"/>
        <w:jc w:val="both"/>
        <w:rPr>
          <w:color w:val="000000" w:themeColor="text1"/>
        </w:rPr>
      </w:pPr>
      <w:r w:rsidRPr="00A53187">
        <w:rPr>
          <w:color w:val="000000" w:themeColor="text1"/>
        </w:rPr>
        <w:t>The RСС</w:t>
      </w:r>
      <w:r>
        <w:rPr>
          <w:color w:val="000000" w:themeColor="text1"/>
        </w:rPr>
        <w:t> </w:t>
      </w:r>
      <w:r w:rsidRPr="00A53187">
        <w:rPr>
          <w:color w:val="000000" w:themeColor="text1"/>
        </w:rPr>
        <w:t xml:space="preserve">Administrations consider that protection of </w:t>
      </w:r>
      <w:r>
        <w:rPr>
          <w:color w:val="000000" w:themeColor="text1"/>
        </w:rPr>
        <w:t>the radio astronomy service</w:t>
      </w:r>
      <w:r w:rsidRPr="00A53187">
        <w:rPr>
          <w:color w:val="000000" w:themeColor="text1"/>
        </w:rPr>
        <w:t xml:space="preserve"> and </w:t>
      </w:r>
      <w:r>
        <w:rPr>
          <w:color w:val="000000" w:themeColor="text1"/>
        </w:rPr>
        <w:t>some applications in the space research service</w:t>
      </w:r>
      <w:r w:rsidRPr="00A53187">
        <w:rPr>
          <w:color w:val="000000" w:themeColor="text1"/>
        </w:rPr>
        <w:t xml:space="preserve"> having allocations on a secondary basis, from the impact of GSO FSS systems in the considered frequency bands and in the adjacent frequency bands, shall be ensured under existing SRS and RAS protection criteria.</w:t>
      </w:r>
      <w:r>
        <w:rPr>
          <w:color w:val="000000" w:themeColor="text1"/>
        </w:rPr>
        <w:t xml:space="preserve"> </w:t>
      </w:r>
      <w:r w:rsidRPr="00A53187">
        <w:rPr>
          <w:color w:val="000000" w:themeColor="text1"/>
        </w:rPr>
        <w:t xml:space="preserve">Necessary </w:t>
      </w:r>
      <w:r>
        <w:rPr>
          <w:color w:val="000000" w:themeColor="text1"/>
        </w:rPr>
        <w:t xml:space="preserve">regulatory provisions and </w:t>
      </w:r>
      <w:r w:rsidRPr="00A53187">
        <w:rPr>
          <w:color w:val="000000" w:themeColor="text1"/>
        </w:rPr>
        <w:t>restrictions of technical characteristics of GSO FSS systems should be included in the Radio Regulations.</w:t>
      </w:r>
      <w:r>
        <w:rPr>
          <w:color w:val="000000" w:themeColor="text1"/>
        </w:rPr>
        <w:t xml:space="preserve"> </w:t>
      </w:r>
    </w:p>
    <w:p w:rsidR="000A34A1" w:rsidRPr="00D35781" w:rsidRDefault="00D35781" w:rsidP="00D35781">
      <w:pPr>
        <w:spacing w:before="80" w:beforeAutospacing="0"/>
        <w:jc w:val="both"/>
        <w:rPr>
          <w:color w:val="000000" w:themeColor="text1"/>
        </w:rPr>
      </w:pPr>
      <w:r w:rsidRPr="00A53187">
        <w:rPr>
          <w:color w:val="000000" w:themeColor="text1"/>
        </w:rPr>
        <w:t>The RСС</w:t>
      </w:r>
      <w:r>
        <w:rPr>
          <w:color w:val="000000" w:themeColor="text1"/>
        </w:rPr>
        <w:t> </w:t>
      </w:r>
      <w:r w:rsidRPr="00A53187">
        <w:rPr>
          <w:color w:val="000000" w:themeColor="text1"/>
        </w:rPr>
        <w:t>Administrations oppose</w:t>
      </w:r>
      <w:r>
        <w:rPr>
          <w:color w:val="000000" w:themeColor="text1"/>
        </w:rPr>
        <w:t xml:space="preserve"> </w:t>
      </w:r>
      <w:r w:rsidRPr="00A53187">
        <w:rPr>
          <w:color w:val="000000" w:themeColor="text1"/>
        </w:rPr>
        <w:t xml:space="preserve">allocation of </w:t>
      </w:r>
      <w:r>
        <w:rPr>
          <w:color w:val="000000" w:themeColor="text1"/>
        </w:rPr>
        <w:t xml:space="preserve">the </w:t>
      </w:r>
      <w:r w:rsidRPr="00A53187">
        <w:rPr>
          <w:color w:val="000000" w:themeColor="text1"/>
        </w:rPr>
        <w:t>10.6-10.68</w:t>
      </w:r>
      <w:r>
        <w:rPr>
          <w:color w:val="000000" w:themeColor="text1"/>
        </w:rPr>
        <w:t> </w:t>
      </w:r>
      <w:r w:rsidRPr="00A53187">
        <w:rPr>
          <w:color w:val="000000" w:themeColor="text1"/>
        </w:rPr>
        <w:t>GHz and 15.35-15.4</w:t>
      </w:r>
      <w:r>
        <w:rPr>
          <w:color w:val="000000" w:themeColor="text1"/>
        </w:rPr>
        <w:t> </w:t>
      </w:r>
      <w:r w:rsidRPr="00A53187">
        <w:rPr>
          <w:color w:val="000000" w:themeColor="text1"/>
        </w:rPr>
        <w:t>GHz frequency bands to the GSO FSS due to complicated</w:t>
      </w:r>
      <w:r>
        <w:rPr>
          <w:color w:val="000000" w:themeColor="text1"/>
        </w:rPr>
        <w:t xml:space="preserve"> </w:t>
      </w:r>
      <w:r w:rsidRPr="00A53187">
        <w:rPr>
          <w:color w:val="000000" w:themeColor="text1"/>
        </w:rPr>
        <w:t>compatibility with stations of passive services ope</w:t>
      </w:r>
      <w:r>
        <w:rPr>
          <w:color w:val="000000" w:themeColor="text1"/>
        </w:rPr>
        <w:t>rating in these frequency bands</w:t>
      </w:r>
      <w:r w:rsidR="000A34A1" w:rsidRPr="001E5315">
        <w:rPr>
          <w:bCs/>
          <w:lang w:eastAsia="fr-FR"/>
        </w:rPr>
        <w:t>.</w:t>
      </w:r>
    </w:p>
    <w:p w:rsidR="000A34A1" w:rsidRPr="00E50048" w:rsidRDefault="000A34A1" w:rsidP="000A34A1">
      <w:pPr>
        <w:pStyle w:val="Heading3"/>
        <w:rPr>
          <w:lang w:val="en-GB"/>
        </w:rPr>
      </w:pPr>
      <w:r w:rsidRPr="00E50048">
        <w:rPr>
          <w:lang w:val="en-GB"/>
        </w:rPr>
        <w:t>3</w:t>
      </w:r>
      <w:r w:rsidRPr="00E50048">
        <w:rPr>
          <w:lang w:val="en-GB"/>
        </w:rPr>
        <w:tab/>
        <w:t>Agenda item 1.9</w:t>
      </w:r>
    </w:p>
    <w:p w:rsidR="000A34A1" w:rsidRPr="00E50048" w:rsidRDefault="000A34A1" w:rsidP="000A34A1">
      <w:pPr>
        <w:rPr>
          <w:i/>
          <w:lang w:val="en-GB"/>
        </w:rPr>
      </w:pPr>
      <w:r w:rsidRPr="00E50048">
        <w:rPr>
          <w:i/>
          <w:lang w:val="en-GB"/>
        </w:rPr>
        <w:t>“</w:t>
      </w:r>
      <w:proofErr w:type="gramStart"/>
      <w:r w:rsidRPr="00E50048">
        <w:rPr>
          <w:i/>
          <w:lang w:val="en-GB"/>
        </w:rPr>
        <w:t>to</w:t>
      </w:r>
      <w:proofErr w:type="gramEnd"/>
      <w:r w:rsidRPr="00E50048">
        <w:rPr>
          <w:i/>
          <w:lang w:val="en-GB"/>
        </w:rPr>
        <w:t xml:space="preserve"> consider, in accordance with Resolution </w:t>
      </w:r>
      <w:r w:rsidRPr="00E50048">
        <w:rPr>
          <w:b/>
          <w:i/>
          <w:lang w:val="en-GB"/>
        </w:rPr>
        <w:t>758 (WRC</w:t>
      </w:r>
      <w:r w:rsidRPr="00E50048">
        <w:rPr>
          <w:b/>
          <w:i/>
          <w:lang w:val="en-GB"/>
        </w:rPr>
        <w:noBreakHyphen/>
        <w:t>12)</w:t>
      </w:r>
      <w:r w:rsidRPr="00E50048">
        <w:rPr>
          <w:i/>
          <w:lang w:val="en-GB"/>
        </w:rPr>
        <w:t>:”</w:t>
      </w:r>
    </w:p>
    <w:p w:rsidR="000A34A1" w:rsidRPr="000A34A1" w:rsidRDefault="00E40D8F" w:rsidP="000A34A1">
      <w:pPr>
        <w:pStyle w:val="Headingb"/>
        <w:rPr>
          <w:rFonts w:ascii="Cambria" w:hAnsi="Cambria"/>
          <w:i/>
          <w:sz w:val="26"/>
          <w:szCs w:val="26"/>
        </w:rPr>
      </w:pPr>
      <w:r>
        <w:rPr>
          <w:rFonts w:ascii="Cambria" w:hAnsi="Cambria"/>
          <w:i/>
          <w:sz w:val="26"/>
          <w:szCs w:val="26"/>
        </w:rPr>
        <w:t xml:space="preserve">3.1 </w:t>
      </w:r>
      <w:r w:rsidR="000A34A1" w:rsidRPr="000A34A1">
        <w:rPr>
          <w:rFonts w:ascii="Cambria" w:hAnsi="Cambria"/>
          <w:i/>
          <w:sz w:val="26"/>
          <w:szCs w:val="26"/>
        </w:rPr>
        <w:t>Agenda item 1.9.2</w:t>
      </w:r>
    </w:p>
    <w:p w:rsidR="000A34A1" w:rsidRPr="00E50048" w:rsidRDefault="000A34A1" w:rsidP="000A34A1">
      <w:pPr>
        <w:rPr>
          <w:b/>
          <w:i/>
          <w:lang w:val="en-GB"/>
        </w:rPr>
      </w:pPr>
      <w:r w:rsidRPr="00E50048">
        <w:rPr>
          <w:i/>
          <w:lang w:val="en-GB"/>
        </w:rPr>
        <w:t>“</w:t>
      </w:r>
      <w:proofErr w:type="gramStart"/>
      <w:r w:rsidRPr="00E50048">
        <w:rPr>
          <w:i/>
          <w:lang w:val="en-GB"/>
        </w:rPr>
        <w:t>the</w:t>
      </w:r>
      <w:proofErr w:type="gramEnd"/>
      <w:r w:rsidRPr="00E50048">
        <w:rPr>
          <w:i/>
          <w:lang w:val="en-GB"/>
        </w:rPr>
        <w:t xml:space="preserve"> possibility of allocating the bands 7 375-7 750 MHz and </w:t>
      </w:r>
      <w:r w:rsidR="00B310D2">
        <w:rPr>
          <w:i/>
          <w:lang w:val="en-GB"/>
        </w:rPr>
        <w:t xml:space="preserve">8 025-8 400 MHz to the maritime </w:t>
      </w:r>
      <w:r w:rsidRPr="00E50048">
        <w:rPr>
          <w:i/>
          <w:lang w:val="en-GB"/>
        </w:rPr>
        <w:t>mobile-satellite service and additional regulatory measures, depending on the results of appropriate studies</w:t>
      </w:r>
      <w:r w:rsidRPr="00E50048">
        <w:rPr>
          <w:rFonts w:eastAsia="SimSun"/>
          <w:i/>
          <w:lang w:val="en-GB"/>
        </w:rPr>
        <w:t>.”</w:t>
      </w:r>
    </w:p>
    <w:p w:rsidR="00282E8A" w:rsidRDefault="00282E8A" w:rsidP="00282E8A">
      <w:pPr>
        <w:jc w:val="both"/>
        <w:rPr>
          <w:color w:val="000000" w:themeColor="text1"/>
        </w:rPr>
      </w:pPr>
      <w:r w:rsidRPr="009B5165">
        <w:rPr>
          <w:color w:val="000000" w:themeColor="text1"/>
        </w:rPr>
        <w:t>The RCC Administrations oppose the allocation of the frequency bands 7</w:t>
      </w:r>
      <w:r w:rsidR="00B310D2">
        <w:rPr>
          <w:color w:val="000000" w:themeColor="text1"/>
        </w:rPr>
        <w:t> </w:t>
      </w:r>
      <w:r w:rsidRPr="009B5165">
        <w:rPr>
          <w:color w:val="000000" w:themeColor="text1"/>
        </w:rPr>
        <w:t>375-7</w:t>
      </w:r>
      <w:r w:rsidR="00B310D2">
        <w:rPr>
          <w:color w:val="000000" w:themeColor="text1"/>
        </w:rPr>
        <w:t> </w:t>
      </w:r>
      <w:r w:rsidRPr="009B5165">
        <w:rPr>
          <w:color w:val="000000" w:themeColor="text1"/>
        </w:rPr>
        <w:t>750</w:t>
      </w:r>
      <w:r w:rsidR="00B310D2">
        <w:rPr>
          <w:color w:val="000000" w:themeColor="text1"/>
        </w:rPr>
        <w:t> </w:t>
      </w:r>
      <w:r w:rsidRPr="009B5165">
        <w:rPr>
          <w:color w:val="000000" w:themeColor="text1"/>
        </w:rPr>
        <w:t>MHz and 8</w:t>
      </w:r>
      <w:r w:rsidR="00B310D2">
        <w:rPr>
          <w:color w:val="000000" w:themeColor="text1"/>
        </w:rPr>
        <w:t> </w:t>
      </w:r>
      <w:r w:rsidRPr="009B5165">
        <w:rPr>
          <w:color w:val="000000" w:themeColor="text1"/>
        </w:rPr>
        <w:t>025-8</w:t>
      </w:r>
      <w:r w:rsidR="00B310D2">
        <w:rPr>
          <w:color w:val="000000" w:themeColor="text1"/>
        </w:rPr>
        <w:t> </w:t>
      </w:r>
      <w:r w:rsidRPr="009B5165">
        <w:rPr>
          <w:color w:val="000000" w:themeColor="text1"/>
        </w:rPr>
        <w:t>400</w:t>
      </w:r>
      <w:r w:rsidR="00B310D2">
        <w:rPr>
          <w:color w:val="000000" w:themeColor="text1"/>
        </w:rPr>
        <w:t> </w:t>
      </w:r>
      <w:r w:rsidRPr="009B5165">
        <w:rPr>
          <w:color w:val="000000" w:themeColor="text1"/>
        </w:rPr>
        <w:t>MHz to the maritime mobile-satellite service</w:t>
      </w:r>
      <w:r>
        <w:rPr>
          <w:color w:val="000000" w:themeColor="text1"/>
        </w:rPr>
        <w:t xml:space="preserve"> </w:t>
      </w:r>
      <w:r w:rsidRPr="009B5165">
        <w:rPr>
          <w:color w:val="000000" w:themeColor="text1"/>
        </w:rPr>
        <w:t>since the ITU-R studies have shown that compatibility of the MMSS with other space services is not possible without imposing additional constraints on them.</w:t>
      </w:r>
    </w:p>
    <w:p w:rsidR="00282E8A" w:rsidRPr="009B5165" w:rsidRDefault="00282E8A" w:rsidP="00C66202">
      <w:pPr>
        <w:jc w:val="both"/>
        <w:rPr>
          <w:color w:val="000000" w:themeColor="text1"/>
        </w:rPr>
      </w:pPr>
      <w:r>
        <w:rPr>
          <w:color w:val="000000" w:themeColor="text1"/>
        </w:rPr>
        <w:lastRenderedPageBreak/>
        <w:t>The RCC Administrations do not object to the allocat</w:t>
      </w:r>
      <w:r w:rsidR="00B310D2">
        <w:rPr>
          <w:color w:val="000000" w:themeColor="text1"/>
        </w:rPr>
        <w:t>i</w:t>
      </w:r>
      <w:r>
        <w:rPr>
          <w:color w:val="000000" w:themeColor="text1"/>
        </w:rPr>
        <w:t>on of the frequency band 7 375-7 750 M</w:t>
      </w:r>
      <w:r w:rsidR="00B310D2">
        <w:rPr>
          <w:color w:val="000000" w:themeColor="text1"/>
        </w:rPr>
        <w:t xml:space="preserve">Hz (space-to-Earth), because the studies carried out by the ITU-R shown that compatibility between the maritime mobile-satellite service and the existing radio services is achievable without putting </w:t>
      </w:r>
      <w:r w:rsidR="00C66202">
        <w:rPr>
          <w:color w:val="000000" w:themeColor="text1"/>
        </w:rPr>
        <w:t xml:space="preserve">on them </w:t>
      </w:r>
      <w:r w:rsidR="00B310D2">
        <w:rPr>
          <w:color w:val="000000" w:themeColor="text1"/>
        </w:rPr>
        <w:t>additional constrains.</w:t>
      </w:r>
    </w:p>
    <w:p w:rsidR="000A34A1" w:rsidRPr="00E50048" w:rsidRDefault="000A34A1" w:rsidP="000A34A1">
      <w:pPr>
        <w:pStyle w:val="Heading3"/>
        <w:rPr>
          <w:lang w:val="en-GB"/>
        </w:rPr>
      </w:pPr>
      <w:r w:rsidRPr="00E50048">
        <w:rPr>
          <w:lang w:val="en-GB"/>
        </w:rPr>
        <w:t>4</w:t>
      </w:r>
      <w:r w:rsidRPr="00E50048">
        <w:rPr>
          <w:lang w:val="en-GB"/>
        </w:rPr>
        <w:tab/>
        <w:t>Agenda item 1.10</w:t>
      </w:r>
    </w:p>
    <w:p w:rsidR="000A34A1" w:rsidRPr="00E50048" w:rsidRDefault="000A34A1" w:rsidP="000A34A1">
      <w:pPr>
        <w:rPr>
          <w:b/>
          <w:i/>
          <w:lang w:val="en-GB"/>
        </w:rPr>
      </w:pPr>
      <w:r w:rsidRPr="00E50048">
        <w:rPr>
          <w:i/>
          <w:lang w:val="en-GB"/>
        </w:rPr>
        <w:t>“</w:t>
      </w:r>
      <w:proofErr w:type="gramStart"/>
      <w:r w:rsidRPr="00E50048">
        <w:rPr>
          <w:i/>
          <w:lang w:val="en-GB"/>
        </w:rPr>
        <w:t>to</w:t>
      </w:r>
      <w:proofErr w:type="gramEnd"/>
      <w:r w:rsidRPr="00E50048">
        <w:rPr>
          <w:i/>
          <w:lang w:val="en-GB"/>
        </w:rPr>
        <w:t xml:space="preserve">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E50048">
        <w:rPr>
          <w:b/>
          <w:bCs/>
          <w:i/>
          <w:lang w:val="en-GB"/>
        </w:rPr>
        <w:t>234 (WRC</w:t>
      </w:r>
      <w:r w:rsidRPr="00E50048">
        <w:rPr>
          <w:b/>
          <w:bCs/>
          <w:i/>
          <w:lang w:val="en-GB"/>
        </w:rPr>
        <w:noBreakHyphen/>
        <w:t>12)</w:t>
      </w:r>
      <w:r w:rsidRPr="00E50048">
        <w:rPr>
          <w:i/>
          <w:lang w:val="en-GB"/>
        </w:rPr>
        <w:t>.”</w:t>
      </w:r>
    </w:p>
    <w:p w:rsidR="00C66202" w:rsidRPr="009B5165" w:rsidRDefault="00C66202" w:rsidP="00A4189B">
      <w:pPr>
        <w:spacing w:before="80" w:beforeAutospacing="0" w:after="0" w:afterAutospacing="0"/>
        <w:jc w:val="both"/>
      </w:pPr>
      <w:r w:rsidRPr="009B5165">
        <w:t>The RCC</w:t>
      </w:r>
      <w:r>
        <w:t> </w:t>
      </w:r>
      <w:r w:rsidRPr="009B5165">
        <w:t>Administrations consider that an additional spectrum allocation to the mobile-satellite service within the frequency range from 22</w:t>
      </w:r>
      <w:r>
        <w:t> </w:t>
      </w:r>
      <w:r w:rsidRPr="009B5165">
        <w:t>GHz to 26</w:t>
      </w:r>
      <w:r>
        <w:t> </w:t>
      </w:r>
      <w:r w:rsidRPr="009B5165">
        <w:t>GHz is possible only if sharing with the existing terrestrial and space services is ensured in the same and adjacent frequency bands (taking into account RR Nos</w:t>
      </w:r>
      <w:r>
        <w:t>. </w:t>
      </w:r>
      <w:r w:rsidRPr="009B5165">
        <w:rPr>
          <w:b/>
        </w:rPr>
        <w:t>5.149</w:t>
      </w:r>
      <w:r w:rsidRPr="009B5165">
        <w:t xml:space="preserve"> and </w:t>
      </w:r>
      <w:r w:rsidRPr="009B5165">
        <w:rPr>
          <w:b/>
        </w:rPr>
        <w:t>5.340</w:t>
      </w:r>
      <w:r w:rsidRPr="009B5165">
        <w:t>), and if such allocations to MSS do not impose additional constraints on the existing services</w:t>
      </w:r>
      <w:r w:rsidRPr="009B5165">
        <w:rPr>
          <w:color w:val="000000" w:themeColor="text1"/>
        </w:rPr>
        <w:t>. Also, unwanted emissions from earth and space stations in the MSS networks shall not cause harmful interference to EESS systems (passive), SRS (passive) and R</w:t>
      </w:r>
      <w:r>
        <w:rPr>
          <w:color w:val="000000" w:themeColor="text1"/>
        </w:rPr>
        <w:t xml:space="preserve">AS </w:t>
      </w:r>
      <w:r w:rsidRPr="009B5165">
        <w:rPr>
          <w:color w:val="000000" w:themeColor="text1"/>
        </w:rPr>
        <w:t>in the frequency bands 23.6-24.00</w:t>
      </w:r>
      <w:r>
        <w:rPr>
          <w:color w:val="000000" w:themeColor="text1"/>
        </w:rPr>
        <w:t> </w:t>
      </w:r>
      <w:r w:rsidRPr="009B5165">
        <w:rPr>
          <w:color w:val="000000" w:themeColor="text1"/>
        </w:rPr>
        <w:t>GHz; 22.01-22.21</w:t>
      </w:r>
      <w:r>
        <w:rPr>
          <w:color w:val="000000" w:themeColor="text1"/>
        </w:rPr>
        <w:t> </w:t>
      </w:r>
      <w:r w:rsidRPr="009B5165">
        <w:rPr>
          <w:color w:val="000000" w:themeColor="text1"/>
        </w:rPr>
        <w:t>GHz; 22.21-22.5</w:t>
      </w:r>
      <w:r>
        <w:rPr>
          <w:color w:val="000000" w:themeColor="text1"/>
        </w:rPr>
        <w:t> </w:t>
      </w:r>
      <w:r w:rsidRPr="009B5165">
        <w:rPr>
          <w:color w:val="000000" w:themeColor="text1"/>
        </w:rPr>
        <w:t>GHz; 22.81-22.86</w:t>
      </w:r>
      <w:r>
        <w:rPr>
          <w:color w:val="000000" w:themeColor="text1"/>
        </w:rPr>
        <w:t> </w:t>
      </w:r>
      <w:r w:rsidRPr="009B5165">
        <w:rPr>
          <w:color w:val="000000" w:themeColor="text1"/>
        </w:rPr>
        <w:t>GHz and 23.07-23.12</w:t>
      </w:r>
      <w:r>
        <w:rPr>
          <w:color w:val="000000" w:themeColor="text1"/>
        </w:rPr>
        <w:t> </w:t>
      </w:r>
      <w:r w:rsidRPr="009B5165">
        <w:rPr>
          <w:color w:val="000000" w:themeColor="text1"/>
        </w:rPr>
        <w:t>GHz.</w:t>
      </w:r>
    </w:p>
    <w:p w:rsidR="00C66202" w:rsidRPr="009B5165" w:rsidRDefault="00C66202" w:rsidP="00C66202">
      <w:pPr>
        <w:spacing w:before="80" w:beforeAutospacing="0" w:after="0" w:afterAutospacing="0" w:line="228" w:lineRule="auto"/>
        <w:jc w:val="both"/>
        <w:rPr>
          <w:color w:val="000000" w:themeColor="text1"/>
        </w:rPr>
      </w:pPr>
      <w:r w:rsidRPr="009B5165">
        <w:rPr>
          <w:color w:val="000000" w:themeColor="text1"/>
        </w:rPr>
        <w:t>The RCC Administrations support additional allocation of 250 MHz for the MSS in every direction:</w:t>
      </w:r>
    </w:p>
    <w:p w:rsidR="00C66202" w:rsidRPr="009B5165" w:rsidRDefault="00C66202" w:rsidP="00C66202">
      <w:pPr>
        <w:tabs>
          <w:tab w:val="left" w:pos="709"/>
        </w:tabs>
        <w:spacing w:before="80" w:beforeAutospacing="0" w:after="0" w:afterAutospacing="0" w:line="228" w:lineRule="auto"/>
        <w:jc w:val="both"/>
        <w:rPr>
          <w:color w:val="000000" w:themeColor="text1"/>
        </w:rPr>
      </w:pPr>
      <w:r w:rsidRPr="009B5165">
        <w:rPr>
          <w:color w:val="000000" w:themeColor="text1"/>
        </w:rPr>
        <w:tab/>
      </w:r>
      <w:proofErr w:type="gramStart"/>
      <w:r w:rsidRPr="009B5165">
        <w:rPr>
          <w:color w:val="000000" w:themeColor="text1"/>
        </w:rPr>
        <w:t>in</w:t>
      </w:r>
      <w:proofErr w:type="gramEnd"/>
      <w:r w:rsidRPr="009B5165">
        <w:rPr>
          <w:color w:val="000000" w:themeColor="text1"/>
        </w:rPr>
        <w:t xml:space="preserve"> the band 23.15-23.55</w:t>
      </w:r>
      <w:r>
        <w:rPr>
          <w:color w:val="000000" w:themeColor="text1"/>
        </w:rPr>
        <w:t> </w:t>
      </w:r>
      <w:r w:rsidRPr="009B5165">
        <w:rPr>
          <w:color w:val="000000" w:themeColor="text1"/>
        </w:rPr>
        <w:t>GHz or 24.25-24.55</w:t>
      </w:r>
      <w:r>
        <w:rPr>
          <w:color w:val="000000" w:themeColor="text1"/>
        </w:rPr>
        <w:t> </w:t>
      </w:r>
      <w:r w:rsidRPr="009B5165">
        <w:rPr>
          <w:color w:val="000000" w:themeColor="text1"/>
        </w:rPr>
        <w:t>GHz</w:t>
      </w:r>
      <w:r>
        <w:rPr>
          <w:color w:val="000000" w:themeColor="text1"/>
        </w:rPr>
        <w:t> </w:t>
      </w:r>
      <w:r w:rsidRPr="009B5165">
        <w:rPr>
          <w:color w:val="000000" w:themeColor="text1"/>
        </w:rPr>
        <w:t xml:space="preserve"> (space-to-Earth),</w:t>
      </w:r>
    </w:p>
    <w:p w:rsidR="00C66202" w:rsidRPr="009B5165" w:rsidRDefault="00C66202" w:rsidP="00C66202">
      <w:pPr>
        <w:tabs>
          <w:tab w:val="left" w:pos="709"/>
        </w:tabs>
        <w:spacing w:before="0" w:beforeAutospacing="0" w:line="228" w:lineRule="auto"/>
        <w:jc w:val="both"/>
        <w:rPr>
          <w:color w:val="000000" w:themeColor="text1"/>
        </w:rPr>
      </w:pPr>
      <w:r w:rsidRPr="009B5165">
        <w:rPr>
          <w:color w:val="000000" w:themeColor="text1"/>
        </w:rPr>
        <w:tab/>
      </w:r>
      <w:proofErr w:type="gramStart"/>
      <w:r w:rsidRPr="009B5165">
        <w:rPr>
          <w:color w:val="000000" w:themeColor="text1"/>
        </w:rPr>
        <w:t>in</w:t>
      </w:r>
      <w:proofErr w:type="gramEnd"/>
      <w:r w:rsidRPr="009B5165">
        <w:rPr>
          <w:color w:val="000000" w:themeColor="text1"/>
        </w:rPr>
        <w:t xml:space="preserve"> the band 25.25-25.5</w:t>
      </w:r>
      <w:r>
        <w:rPr>
          <w:color w:val="000000" w:themeColor="text1"/>
        </w:rPr>
        <w:t> </w:t>
      </w:r>
      <w:r w:rsidRPr="009B5165">
        <w:rPr>
          <w:color w:val="000000" w:themeColor="text1"/>
        </w:rPr>
        <w:t>GHz or 24.25-24.55</w:t>
      </w:r>
      <w:r>
        <w:rPr>
          <w:color w:val="000000" w:themeColor="text1"/>
        </w:rPr>
        <w:t> </w:t>
      </w:r>
      <w:r w:rsidRPr="009B5165">
        <w:rPr>
          <w:color w:val="000000" w:themeColor="text1"/>
        </w:rPr>
        <w:t>GHz (Earth-to-space).</w:t>
      </w:r>
    </w:p>
    <w:p w:rsidR="000A34A1" w:rsidRPr="00E50048" w:rsidRDefault="000A34A1" w:rsidP="000A34A1">
      <w:pPr>
        <w:pStyle w:val="Heading3"/>
        <w:rPr>
          <w:lang w:val="en-GB"/>
        </w:rPr>
      </w:pPr>
      <w:r w:rsidRPr="00E50048">
        <w:rPr>
          <w:lang w:val="en-GB"/>
        </w:rPr>
        <w:t>5</w:t>
      </w:r>
      <w:r w:rsidRPr="00E50048">
        <w:rPr>
          <w:lang w:val="en-GB"/>
        </w:rPr>
        <w:tab/>
        <w:t>Agenda item 1.11</w:t>
      </w:r>
    </w:p>
    <w:p w:rsidR="000A34A1" w:rsidRPr="00E50048" w:rsidRDefault="000A34A1" w:rsidP="000A34A1">
      <w:pPr>
        <w:rPr>
          <w:b/>
          <w:i/>
          <w:lang w:val="en-GB"/>
        </w:rPr>
      </w:pPr>
      <w:r w:rsidRPr="00E50048">
        <w:rPr>
          <w:i/>
          <w:lang w:val="en-GB"/>
        </w:rPr>
        <w:t>“</w:t>
      </w:r>
      <w:proofErr w:type="gramStart"/>
      <w:r w:rsidRPr="00E50048">
        <w:rPr>
          <w:i/>
          <w:lang w:val="en-GB"/>
        </w:rPr>
        <w:t>to</w:t>
      </w:r>
      <w:proofErr w:type="gramEnd"/>
      <w:r w:rsidRPr="00E50048">
        <w:rPr>
          <w:i/>
          <w:lang w:val="en-GB"/>
        </w:rPr>
        <w:t xml:space="preserve"> consider a primary allocation for the Earth exploration-satellite  service (Earth-to-space) in the 7-8 GHz range, in accordance with Resolution </w:t>
      </w:r>
      <w:r w:rsidRPr="00E50048">
        <w:rPr>
          <w:b/>
          <w:bCs/>
          <w:i/>
          <w:lang w:val="en-GB"/>
        </w:rPr>
        <w:t>650 (WRC</w:t>
      </w:r>
      <w:r w:rsidRPr="00E50048">
        <w:rPr>
          <w:b/>
          <w:bCs/>
          <w:i/>
          <w:lang w:val="en-GB"/>
        </w:rPr>
        <w:noBreakHyphen/>
        <w:t>12)</w:t>
      </w:r>
      <w:r w:rsidRPr="00E50048">
        <w:rPr>
          <w:i/>
          <w:lang w:val="en-GB"/>
        </w:rPr>
        <w:t>.”</w:t>
      </w:r>
    </w:p>
    <w:p w:rsidR="00A4189B" w:rsidRPr="00A4189B" w:rsidRDefault="00A4189B" w:rsidP="00A4189B">
      <w:pPr>
        <w:spacing w:before="80" w:beforeAutospacing="0" w:after="0" w:afterAutospacing="0" w:line="228" w:lineRule="auto"/>
        <w:jc w:val="both"/>
      </w:pPr>
      <w:r w:rsidRPr="00A4189B">
        <w:t>The RCC Administrations do not object to allocation of frequency band 7</w:t>
      </w:r>
      <w:r>
        <w:t> </w:t>
      </w:r>
      <w:r w:rsidRPr="00A4189B">
        <w:t>190-7</w:t>
      </w:r>
      <w:r>
        <w:t> </w:t>
      </w:r>
      <w:r w:rsidRPr="00A4189B">
        <w:t>250</w:t>
      </w:r>
      <w:r>
        <w:t> </w:t>
      </w:r>
      <w:r w:rsidRPr="00A4189B">
        <w:t>MHz on a primary basis to the Earth exploration-satellite service (Earth-to-space) provided the compatibility with systems of SOS, SRS, FS and MS is ensured.</w:t>
      </w:r>
    </w:p>
    <w:p w:rsidR="00A4189B" w:rsidRPr="00A4189B" w:rsidRDefault="00A4189B" w:rsidP="00A4189B">
      <w:pPr>
        <w:pStyle w:val="Texte"/>
        <w:spacing w:before="80"/>
        <w:jc w:val="left"/>
        <w:rPr>
          <w:rStyle w:val="hps"/>
          <w:rFonts w:ascii="Times New Roman" w:hAnsi="Times New Roman"/>
          <w:sz w:val="24"/>
        </w:rPr>
      </w:pPr>
      <w:r w:rsidRPr="00A4189B">
        <w:rPr>
          <w:rStyle w:val="hps"/>
          <w:rFonts w:ascii="Times New Roman" w:hAnsi="Times New Roman"/>
          <w:sz w:val="24"/>
        </w:rPr>
        <w:t xml:space="preserve">Compatibility conditions between </w:t>
      </w:r>
      <w:r>
        <w:rPr>
          <w:rStyle w:val="hps"/>
          <w:rFonts w:ascii="Times New Roman" w:hAnsi="Times New Roman"/>
          <w:sz w:val="24"/>
        </w:rPr>
        <w:t xml:space="preserve">the </w:t>
      </w:r>
      <w:r w:rsidRPr="00A4189B">
        <w:rPr>
          <w:rStyle w:val="hps"/>
          <w:rFonts w:ascii="Times New Roman" w:hAnsi="Times New Roman"/>
          <w:sz w:val="24"/>
        </w:rPr>
        <w:t>EESS</w:t>
      </w:r>
      <w:r>
        <w:rPr>
          <w:rStyle w:val="hps"/>
          <w:rFonts w:ascii="Times New Roman" w:hAnsi="Times New Roman"/>
          <w:sz w:val="24"/>
        </w:rPr>
        <w:t> </w:t>
      </w:r>
      <w:r w:rsidRPr="00A4189B">
        <w:rPr>
          <w:rStyle w:val="hps"/>
          <w:rFonts w:ascii="Times New Roman" w:hAnsi="Times New Roman"/>
          <w:sz w:val="24"/>
        </w:rPr>
        <w:t xml:space="preserve">(Earth-to-space) and other existing services in </w:t>
      </w:r>
      <w:r w:rsidRPr="00A4189B">
        <w:rPr>
          <w:rFonts w:ascii="Times New Roman" w:hAnsi="Times New Roman"/>
          <w:sz w:val="24"/>
        </w:rPr>
        <w:t xml:space="preserve">the </w:t>
      </w:r>
      <w:r w:rsidRPr="00A4189B">
        <w:rPr>
          <w:rStyle w:val="hps"/>
          <w:rFonts w:ascii="Times New Roman" w:hAnsi="Times New Roman"/>
          <w:sz w:val="24"/>
        </w:rPr>
        <w:t>7-8</w:t>
      </w:r>
      <w:r>
        <w:rPr>
          <w:rStyle w:val="hps"/>
          <w:rFonts w:ascii="Times New Roman" w:hAnsi="Times New Roman"/>
          <w:sz w:val="24"/>
        </w:rPr>
        <w:t> </w:t>
      </w:r>
      <w:r w:rsidRPr="00A4189B">
        <w:rPr>
          <w:rStyle w:val="hps"/>
          <w:rFonts w:ascii="Times New Roman" w:hAnsi="Times New Roman"/>
          <w:sz w:val="24"/>
        </w:rPr>
        <w:t>GHz</w:t>
      </w:r>
      <w:r>
        <w:rPr>
          <w:rStyle w:val="hps"/>
          <w:rFonts w:ascii="Times New Roman" w:hAnsi="Times New Roman"/>
          <w:sz w:val="24"/>
        </w:rPr>
        <w:t xml:space="preserve"> frequency</w:t>
      </w:r>
      <w:r w:rsidRPr="00A4189B">
        <w:rPr>
          <w:rStyle w:val="hps"/>
          <w:rFonts w:ascii="Times New Roman" w:hAnsi="Times New Roman"/>
          <w:sz w:val="24"/>
        </w:rPr>
        <w:t xml:space="preserve"> range shall be incorporated in the Radio Regulations.</w:t>
      </w:r>
    </w:p>
    <w:p w:rsidR="000A34A1" w:rsidRPr="00A4189B" w:rsidRDefault="00A4189B" w:rsidP="00A4189B">
      <w:pPr>
        <w:pStyle w:val="Texte"/>
        <w:spacing w:before="80"/>
        <w:jc w:val="left"/>
        <w:rPr>
          <w:rFonts w:ascii="Times New Roman" w:hAnsi="Times New Roman"/>
          <w:bCs/>
          <w:sz w:val="24"/>
        </w:rPr>
      </w:pPr>
      <w:r w:rsidRPr="00A4189B">
        <w:rPr>
          <w:rFonts w:ascii="Times New Roman" w:hAnsi="Times New Roman"/>
          <w:sz w:val="24"/>
        </w:rPr>
        <w:t xml:space="preserve">The RCC Administrations support </w:t>
      </w:r>
      <w:r w:rsidR="000A34A1" w:rsidRPr="00A4189B">
        <w:rPr>
          <w:rFonts w:ascii="Times New Roman" w:hAnsi="Times New Roman"/>
          <w:bCs/>
          <w:sz w:val="24"/>
        </w:rPr>
        <w:t xml:space="preserve">Method </w:t>
      </w:r>
      <w:r w:rsidR="00022D34">
        <w:rPr>
          <w:rFonts w:ascii="Times New Roman" w:hAnsi="Times New Roman"/>
          <w:bCs/>
          <w:sz w:val="24"/>
        </w:rPr>
        <w:t>B</w:t>
      </w:r>
      <w:r w:rsidR="000A34A1" w:rsidRPr="00A4189B">
        <w:rPr>
          <w:rFonts w:ascii="Times New Roman" w:hAnsi="Times New Roman"/>
          <w:bCs/>
          <w:sz w:val="24"/>
        </w:rPr>
        <w:t xml:space="preserve"> in CPM Report. </w:t>
      </w:r>
    </w:p>
    <w:p w:rsidR="000A34A1" w:rsidRPr="00E50048" w:rsidRDefault="000A34A1" w:rsidP="000A34A1">
      <w:pPr>
        <w:pStyle w:val="Heading3"/>
        <w:rPr>
          <w:lang w:val="en-GB"/>
        </w:rPr>
      </w:pPr>
      <w:r w:rsidRPr="00E50048">
        <w:rPr>
          <w:lang w:val="en-GB"/>
        </w:rPr>
        <w:t>6</w:t>
      </w:r>
      <w:r w:rsidRPr="00E50048">
        <w:rPr>
          <w:lang w:val="en-GB"/>
        </w:rPr>
        <w:tab/>
        <w:t>Agenda item 1.12</w:t>
      </w:r>
    </w:p>
    <w:p w:rsidR="000A34A1" w:rsidRPr="00E50048" w:rsidRDefault="000A34A1" w:rsidP="000A34A1">
      <w:pPr>
        <w:rPr>
          <w:b/>
          <w:i/>
          <w:lang w:val="en-GB"/>
        </w:rPr>
      </w:pPr>
      <w:r w:rsidRPr="00E50048">
        <w:rPr>
          <w:i/>
          <w:lang w:val="en-GB"/>
        </w:rPr>
        <w:t>“</w:t>
      </w:r>
      <w:proofErr w:type="gramStart"/>
      <w:r w:rsidRPr="00E50048">
        <w:rPr>
          <w:i/>
          <w:lang w:val="en-GB"/>
        </w:rPr>
        <w:t>to</w:t>
      </w:r>
      <w:proofErr w:type="gramEnd"/>
      <w:r w:rsidRPr="00E50048">
        <w:rPr>
          <w:i/>
          <w:lang w:val="en-GB"/>
        </w:rPr>
        <w:t xml:space="preserve"> consider an extension of the current worldwide allocation to the Earth exploration-satellite (active) service in the frequency band 9 300-9 900 MHz by up to 600 MHz within the frequency bands 8 700-9 300 MHz and/or 9 900-10 500 MHz, in accordance with Resolution </w:t>
      </w:r>
      <w:r w:rsidRPr="00E50048">
        <w:rPr>
          <w:b/>
          <w:bCs/>
          <w:i/>
          <w:lang w:val="en-GB"/>
        </w:rPr>
        <w:t>651 (WRC</w:t>
      </w:r>
      <w:r w:rsidRPr="00E50048">
        <w:rPr>
          <w:b/>
          <w:bCs/>
          <w:i/>
          <w:lang w:val="en-GB"/>
        </w:rPr>
        <w:noBreakHyphen/>
        <w:t>12)</w:t>
      </w:r>
      <w:r w:rsidRPr="00E50048">
        <w:rPr>
          <w:i/>
          <w:lang w:val="en-GB"/>
        </w:rPr>
        <w:t>.”</w:t>
      </w:r>
    </w:p>
    <w:p w:rsidR="008C227F" w:rsidRPr="009B5165" w:rsidRDefault="008C227F" w:rsidP="008C227F">
      <w:pPr>
        <w:spacing w:before="80" w:beforeAutospacing="0" w:after="0" w:afterAutospacing="0"/>
        <w:jc w:val="both"/>
      </w:pPr>
      <w:r w:rsidRPr="009B5165">
        <w:t>The</w:t>
      </w:r>
      <w:r>
        <w:t> </w:t>
      </w:r>
      <w:r w:rsidRPr="009B5165">
        <w:t>RCC</w:t>
      </w:r>
      <w:r>
        <w:t> </w:t>
      </w:r>
      <w:r w:rsidRPr="009B5165">
        <w:t>Administrations consider that worldwide extension of the available allocation to the EESS (active) in the frequency band 9</w:t>
      </w:r>
      <w:r>
        <w:t> </w:t>
      </w:r>
      <w:r w:rsidRPr="009B5165">
        <w:t>300-9</w:t>
      </w:r>
      <w:r>
        <w:t> </w:t>
      </w:r>
      <w:r w:rsidRPr="009B5165">
        <w:t>900</w:t>
      </w:r>
      <w:r>
        <w:t> </w:t>
      </w:r>
      <w:r w:rsidRPr="009B5165">
        <w:t>MHz up to 600</w:t>
      </w:r>
      <w:r>
        <w:t> </w:t>
      </w:r>
      <w:r w:rsidRPr="009B5165">
        <w:t>MHz would be more preferable within the frequency band 9</w:t>
      </w:r>
      <w:r>
        <w:t> </w:t>
      </w:r>
      <w:r w:rsidRPr="009B5165">
        <w:t>900-10</w:t>
      </w:r>
      <w:r>
        <w:t> </w:t>
      </w:r>
      <w:r w:rsidRPr="009B5165">
        <w:t>500</w:t>
      </w:r>
      <w:r>
        <w:t> </w:t>
      </w:r>
      <w:r w:rsidRPr="009B5165">
        <w:t>MHz, and the extension would be possible only subject to defining the conditions of providing protection for systems in other services operating in this and adjacent frequency bands.</w:t>
      </w:r>
    </w:p>
    <w:p w:rsidR="008C227F" w:rsidRPr="009B5165" w:rsidRDefault="008C227F" w:rsidP="008C227F">
      <w:pPr>
        <w:spacing w:before="80" w:beforeAutospacing="0" w:after="0" w:afterAutospacing="0"/>
        <w:jc w:val="both"/>
      </w:pPr>
      <w:r w:rsidRPr="009B5165">
        <w:t>The</w:t>
      </w:r>
      <w:r>
        <w:t> </w:t>
      </w:r>
      <w:r w:rsidRPr="009B5165">
        <w:t>RCC</w:t>
      </w:r>
      <w:r>
        <w:t> </w:t>
      </w:r>
      <w:r w:rsidRPr="009B5165">
        <w:t>Administrations consider that in case of additional allocation of up to 600</w:t>
      </w:r>
      <w:r>
        <w:t> </w:t>
      </w:r>
      <w:r w:rsidRPr="009B5165">
        <w:t>MHz to the</w:t>
      </w:r>
      <w:r>
        <w:t> </w:t>
      </w:r>
      <w:r w:rsidRPr="009B5165">
        <w:t>EESS</w:t>
      </w:r>
      <w:r>
        <w:t> </w:t>
      </w:r>
      <w:r w:rsidRPr="009B5165">
        <w:t xml:space="preserve">(active), this frequency band shall be used only by the EESS systems with the </w:t>
      </w:r>
      <w:proofErr w:type="spellStart"/>
      <w:r w:rsidRPr="009B5165">
        <w:t>pfd</w:t>
      </w:r>
      <w:proofErr w:type="spellEnd"/>
      <w:r w:rsidRPr="009B5165">
        <w:t xml:space="preserve"> limits derived from the ITU-R studies and subject to not claiming protection from the services having allocations in this frequency band.</w:t>
      </w:r>
    </w:p>
    <w:p w:rsidR="008C227F" w:rsidRPr="009B5165" w:rsidRDefault="008C227F" w:rsidP="008C227F">
      <w:pPr>
        <w:spacing w:before="80" w:beforeAutospacing="0" w:after="0" w:afterAutospacing="0"/>
        <w:jc w:val="both"/>
      </w:pPr>
      <w:r w:rsidRPr="009B5165">
        <w:lastRenderedPageBreak/>
        <w:t>The RCC</w:t>
      </w:r>
      <w:r>
        <w:t> </w:t>
      </w:r>
      <w:r w:rsidRPr="009B5165">
        <w:t>Administrations consider that protection shall be ensured for systems in other services, specifically RLS in the frequency band 9</w:t>
      </w:r>
      <w:r>
        <w:t> </w:t>
      </w:r>
      <w:r w:rsidRPr="009B5165">
        <w:t>900-10</w:t>
      </w:r>
      <w:r>
        <w:t> </w:t>
      </w:r>
      <w:r w:rsidRPr="009B5165">
        <w:t>500</w:t>
      </w:r>
      <w:r>
        <w:t> </w:t>
      </w:r>
      <w:r w:rsidRPr="009B5165">
        <w:t>MHz as well as for</w:t>
      </w:r>
      <w:r>
        <w:t xml:space="preserve"> </w:t>
      </w:r>
      <w:proofErr w:type="spellStart"/>
      <w:r w:rsidRPr="009B5165">
        <w:rPr>
          <w:color w:val="000000" w:themeColor="text1"/>
        </w:rPr>
        <w:t>radiodetermination</w:t>
      </w:r>
      <w:proofErr w:type="spellEnd"/>
      <w:r>
        <w:rPr>
          <w:color w:val="000000" w:themeColor="text1"/>
        </w:rPr>
        <w:t xml:space="preserve"> </w:t>
      </w:r>
      <w:r w:rsidRPr="009B5165">
        <w:t>systems in the frequency band 9</w:t>
      </w:r>
      <w:r>
        <w:t> </w:t>
      </w:r>
      <w:r w:rsidRPr="009B5165">
        <w:t>200-9</w:t>
      </w:r>
      <w:r>
        <w:t> </w:t>
      </w:r>
      <w:r w:rsidRPr="009B5165">
        <w:t>300</w:t>
      </w:r>
      <w:r>
        <w:t> </w:t>
      </w:r>
      <w:r w:rsidRPr="009B5165">
        <w:t>MHz</w:t>
      </w:r>
      <w:r w:rsidRPr="00AE2CF3">
        <w:t xml:space="preserve"> </w:t>
      </w:r>
      <w:r w:rsidRPr="00396142">
        <w:t>deployed on river boats and sea ships.</w:t>
      </w:r>
    </w:p>
    <w:p w:rsidR="000A34A1" w:rsidRPr="008C227F" w:rsidRDefault="008C227F" w:rsidP="008C227F">
      <w:pPr>
        <w:spacing w:before="80" w:beforeAutospacing="0"/>
        <w:jc w:val="both"/>
        <w:rPr>
          <w:color w:val="000000" w:themeColor="text1"/>
        </w:rPr>
      </w:pPr>
      <w:r w:rsidRPr="009B5165">
        <w:rPr>
          <w:color w:val="000000" w:themeColor="text1"/>
        </w:rPr>
        <w:t xml:space="preserve">Complies with Method A2 </w:t>
      </w:r>
      <w:r w:rsidRPr="00FA51CA">
        <w:rPr>
          <w:color w:val="000000" w:themeColor="text1"/>
        </w:rPr>
        <w:t xml:space="preserve">of </w:t>
      </w:r>
      <w:r>
        <w:rPr>
          <w:color w:val="000000" w:themeColor="text1"/>
        </w:rPr>
        <w:t>C</w:t>
      </w:r>
      <w:r w:rsidRPr="00FA51CA">
        <w:rPr>
          <w:color w:val="000000" w:themeColor="text1"/>
        </w:rPr>
        <w:t xml:space="preserve">PM Report </w:t>
      </w:r>
      <w:r w:rsidRPr="009B5165">
        <w:rPr>
          <w:color w:val="000000" w:themeColor="text1"/>
        </w:rPr>
        <w:t xml:space="preserve">with specified </w:t>
      </w:r>
      <w:proofErr w:type="spellStart"/>
      <w:r w:rsidRPr="009B5165">
        <w:rPr>
          <w:color w:val="000000" w:themeColor="text1"/>
        </w:rPr>
        <w:t>pfd</w:t>
      </w:r>
      <w:proofErr w:type="spellEnd"/>
      <w:r>
        <w:rPr>
          <w:color w:val="000000" w:themeColor="text1"/>
        </w:rPr>
        <w:t xml:space="preserve"> limits</w:t>
      </w:r>
      <w:r w:rsidR="000A34A1" w:rsidRPr="00E50048">
        <w:rPr>
          <w:lang w:val="en-GB"/>
        </w:rPr>
        <w:t>.</w:t>
      </w:r>
    </w:p>
    <w:p w:rsidR="000A34A1" w:rsidRPr="00E50048" w:rsidRDefault="000A34A1" w:rsidP="000A34A1">
      <w:pPr>
        <w:pStyle w:val="Heading3"/>
        <w:rPr>
          <w:lang w:val="en-GB"/>
        </w:rPr>
      </w:pPr>
      <w:r w:rsidRPr="00E50048">
        <w:rPr>
          <w:lang w:val="en-GB"/>
        </w:rPr>
        <w:t>7</w:t>
      </w:r>
      <w:r w:rsidRPr="00E50048">
        <w:rPr>
          <w:lang w:val="en-GB"/>
        </w:rPr>
        <w:tab/>
        <w:t>Agenda item 1.17</w:t>
      </w:r>
    </w:p>
    <w:p w:rsidR="000A34A1" w:rsidRPr="00E50048" w:rsidRDefault="000A34A1" w:rsidP="000A34A1">
      <w:pPr>
        <w:rPr>
          <w:i/>
          <w:lang w:val="en-GB"/>
        </w:rPr>
      </w:pPr>
      <w:r w:rsidRPr="00E50048">
        <w:rPr>
          <w:i/>
          <w:lang w:val="en-GB"/>
        </w:rPr>
        <w:t>“</w:t>
      </w:r>
      <w:proofErr w:type="gramStart"/>
      <w:r w:rsidRPr="00E50048">
        <w:rPr>
          <w:i/>
          <w:lang w:val="en-GB"/>
        </w:rPr>
        <w:t>to</w:t>
      </w:r>
      <w:proofErr w:type="gramEnd"/>
      <w:r w:rsidRPr="00E50048">
        <w:rPr>
          <w:i/>
          <w:lang w:val="en-GB"/>
        </w:rPr>
        <w:t xml:space="preserve"> consider possible spectrum requirements and regulatory actions, including appropriate aeronautical allocations, to support wireless avionics intra-communications (WAIC), in accordance with Resolution </w:t>
      </w:r>
      <w:r w:rsidRPr="00E50048">
        <w:rPr>
          <w:b/>
          <w:bCs/>
          <w:i/>
          <w:lang w:val="en-GB"/>
        </w:rPr>
        <w:t>423 (WRC</w:t>
      </w:r>
      <w:r w:rsidRPr="00E50048">
        <w:rPr>
          <w:b/>
          <w:bCs/>
          <w:i/>
          <w:lang w:val="en-GB"/>
        </w:rPr>
        <w:noBreakHyphen/>
        <w:t>12)</w:t>
      </w:r>
      <w:r w:rsidRPr="00E50048">
        <w:rPr>
          <w:i/>
          <w:lang w:val="en-GB"/>
        </w:rPr>
        <w:t>.”</w:t>
      </w:r>
    </w:p>
    <w:p w:rsidR="008C227F" w:rsidRPr="009B5165" w:rsidRDefault="008C227F" w:rsidP="008C227F">
      <w:pPr>
        <w:spacing w:after="0" w:afterAutospacing="0"/>
        <w:jc w:val="both"/>
      </w:pPr>
      <w:r w:rsidRPr="009B5165">
        <w:t xml:space="preserve">The RCC Administrations consider that: </w:t>
      </w:r>
    </w:p>
    <w:p w:rsidR="008C227F" w:rsidRPr="009B5165" w:rsidRDefault="008C227F" w:rsidP="008C227F">
      <w:pPr>
        <w:pStyle w:val="ListParagraph"/>
        <w:numPr>
          <w:ilvl w:val="0"/>
          <w:numId w:val="19"/>
        </w:numPr>
        <w:spacing w:before="0" w:beforeAutospacing="0" w:after="0" w:afterAutospacing="0"/>
        <w:jc w:val="both"/>
      </w:pPr>
      <w:r w:rsidRPr="009B5165">
        <w:t xml:space="preserve">WAIC systems shall operate in the frequency bands allocated to aeronautical services; </w:t>
      </w:r>
    </w:p>
    <w:p w:rsidR="008C227F" w:rsidRPr="009B5165" w:rsidRDefault="008C227F" w:rsidP="008C227F">
      <w:pPr>
        <w:pStyle w:val="ListParagraph"/>
        <w:numPr>
          <w:ilvl w:val="0"/>
          <w:numId w:val="19"/>
        </w:numPr>
        <w:spacing w:before="0" w:beforeAutospacing="0" w:after="0" w:afterAutospacing="0"/>
        <w:jc w:val="both"/>
      </w:pPr>
      <w:r w:rsidRPr="009B5165">
        <w:t xml:space="preserve">frequency bands used by WAIC shall be harmonized in all three Regions; </w:t>
      </w:r>
    </w:p>
    <w:p w:rsidR="008C227F" w:rsidRDefault="008C227F" w:rsidP="008C227F">
      <w:pPr>
        <w:pStyle w:val="ListParagraph"/>
        <w:numPr>
          <w:ilvl w:val="0"/>
          <w:numId w:val="19"/>
        </w:numPr>
        <w:spacing w:before="0" w:beforeAutospacing="0" w:after="0" w:afterAutospacing="0"/>
        <w:jc w:val="both"/>
      </w:pPr>
      <w:proofErr w:type="gramStart"/>
      <w:r w:rsidRPr="009B5165">
        <w:t>implementation</w:t>
      </w:r>
      <w:proofErr w:type="gramEnd"/>
      <w:r w:rsidRPr="009B5165">
        <w:t xml:space="preserve"> of WAIC shall not impose constraints on other systems operating in the common frequency bands.</w:t>
      </w:r>
    </w:p>
    <w:p w:rsidR="008C227F" w:rsidRPr="00FE7C79" w:rsidRDefault="008C227F" w:rsidP="008C227F">
      <w:pPr>
        <w:spacing w:before="80" w:beforeAutospacing="0" w:after="0" w:afterAutospacing="0"/>
        <w:jc w:val="both"/>
      </w:pPr>
      <w:r>
        <w:t>The RCC Administrations have no objections for the allocation of 4200-4400 MHz frequency band to the air mobile (R) service to be used only by WAIC systems, keeping the status of Earth exploration satellite service (EESS</w:t>
      </w:r>
      <w:r w:rsidRPr="00FA51CA">
        <w:t xml:space="preserve">) and space research service </w:t>
      </w:r>
      <w:r>
        <w:t xml:space="preserve">(SRS) as passive services and ensuring protection of aeronautical </w:t>
      </w:r>
      <w:proofErr w:type="spellStart"/>
      <w:r>
        <w:t>radionavigation</w:t>
      </w:r>
      <w:proofErr w:type="spellEnd"/>
      <w:r>
        <w:t xml:space="preserve"> service (ARNS) systems.</w:t>
      </w:r>
    </w:p>
    <w:p w:rsidR="008C227F" w:rsidRPr="009B5165" w:rsidRDefault="008C227F" w:rsidP="008C227F">
      <w:pPr>
        <w:spacing w:before="80" w:beforeAutospacing="0"/>
        <w:jc w:val="both"/>
      </w:pPr>
      <w:r>
        <w:t>The RCC Administrations support the existing method to satisfy the agenda item.</w:t>
      </w:r>
    </w:p>
    <w:p w:rsidR="000A34A1" w:rsidRPr="00E50048" w:rsidRDefault="000A34A1" w:rsidP="000A34A1">
      <w:pPr>
        <w:pStyle w:val="Heading3"/>
        <w:rPr>
          <w:lang w:val="en-GB"/>
        </w:rPr>
      </w:pPr>
      <w:bookmarkStart w:id="6" w:name="_1.18__рассмотреть"/>
      <w:bookmarkEnd w:id="6"/>
      <w:r w:rsidRPr="00E50048">
        <w:rPr>
          <w:lang w:val="en-GB"/>
        </w:rPr>
        <w:t>8</w:t>
      </w:r>
      <w:r w:rsidRPr="00E50048">
        <w:rPr>
          <w:lang w:val="en-GB"/>
        </w:rPr>
        <w:tab/>
        <w:t>Agenda item 9.1.1</w:t>
      </w:r>
    </w:p>
    <w:p w:rsidR="000A34A1" w:rsidRPr="00E50048" w:rsidRDefault="000A34A1" w:rsidP="000A34A1">
      <w:pPr>
        <w:rPr>
          <w:b/>
          <w:i/>
          <w:lang w:val="en-GB"/>
        </w:rPr>
      </w:pPr>
      <w:r w:rsidRPr="00E50048">
        <w:rPr>
          <w:i/>
          <w:lang w:val="en-GB"/>
        </w:rPr>
        <w:t xml:space="preserve">“to consider and approve the Report of the Director of the </w:t>
      </w:r>
      <w:proofErr w:type="spellStart"/>
      <w:r w:rsidRPr="00E50048">
        <w:rPr>
          <w:i/>
          <w:lang w:val="en-GB"/>
        </w:rPr>
        <w:t>Radiocommunication</w:t>
      </w:r>
      <w:proofErr w:type="spellEnd"/>
      <w:r w:rsidRPr="00E50048">
        <w:rPr>
          <w:i/>
          <w:lang w:val="en-GB"/>
        </w:rPr>
        <w:t xml:space="preserve"> Bureau, in accordance with Article 7 of the Convention: on the activities of the </w:t>
      </w:r>
      <w:proofErr w:type="spellStart"/>
      <w:r w:rsidRPr="00E50048">
        <w:rPr>
          <w:i/>
          <w:lang w:val="en-GB"/>
        </w:rPr>
        <w:t>Radiocommunication</w:t>
      </w:r>
      <w:proofErr w:type="spellEnd"/>
      <w:r w:rsidRPr="00E50048">
        <w:rPr>
          <w:i/>
          <w:lang w:val="en-GB"/>
        </w:rPr>
        <w:t xml:space="preserve"> Sector since WRC-12: Protection of the systems operating in the mobile-satellite service in the band 406-406.1 MHz Resolution </w:t>
      </w:r>
      <w:r w:rsidRPr="00E50048">
        <w:rPr>
          <w:b/>
          <w:bCs/>
          <w:i/>
          <w:lang w:val="en-GB"/>
        </w:rPr>
        <w:t>205 (Rev.WRC-12)</w:t>
      </w:r>
      <w:r w:rsidRPr="00E50048">
        <w:rPr>
          <w:i/>
          <w:lang w:val="en-GB"/>
        </w:rPr>
        <w:t>).”</w:t>
      </w:r>
    </w:p>
    <w:p w:rsidR="007A7D6A" w:rsidRPr="00590EED" w:rsidRDefault="007A7D6A" w:rsidP="007A7D6A">
      <w:pPr>
        <w:jc w:val="both"/>
      </w:pPr>
      <w:r w:rsidRPr="00590EED">
        <w:t>The RCC</w:t>
      </w:r>
      <w:r>
        <w:t> </w:t>
      </w:r>
      <w:r w:rsidRPr="00590EED">
        <w:t>Administrations support activities ensuring appropriate protection of the COSPAS-SARSAT system in the frequency band 406-406.1</w:t>
      </w:r>
      <w:r>
        <w:t> </w:t>
      </w:r>
      <w:r w:rsidRPr="00590EED">
        <w:t>MHz from emissions which could cause harmful interference to the authorized uses in this frequency band (RR No</w:t>
      </w:r>
      <w:r>
        <w:t>. </w:t>
      </w:r>
      <w:r w:rsidRPr="00590EED">
        <w:rPr>
          <w:b/>
        </w:rPr>
        <w:t>5.267</w:t>
      </w:r>
      <w:r w:rsidRPr="00590EED">
        <w:t xml:space="preserve"> and No</w:t>
      </w:r>
      <w:r>
        <w:t>. </w:t>
      </w:r>
      <w:r w:rsidRPr="00590EED">
        <w:rPr>
          <w:b/>
        </w:rPr>
        <w:t>5.266</w:t>
      </w:r>
      <w:r w:rsidRPr="00590EED">
        <w:t>), taking into account existing and future deployment of services in adjacent (390-406</w:t>
      </w:r>
      <w:r>
        <w:t> </w:t>
      </w:r>
      <w:r w:rsidRPr="00590EED">
        <w:t>MHz and 406.1-420</w:t>
      </w:r>
      <w:r>
        <w:t> </w:t>
      </w:r>
      <w:r w:rsidRPr="00590EED">
        <w:t>MHz) frequency bands.</w:t>
      </w:r>
    </w:p>
    <w:p w:rsidR="000A34A1" w:rsidRPr="00E50048" w:rsidRDefault="007A7D6A" w:rsidP="007A7D6A">
      <w:pPr>
        <w:spacing w:before="80" w:beforeAutospacing="0" w:after="0" w:afterAutospacing="0"/>
        <w:rPr>
          <w:bCs/>
          <w:lang w:val="en-GB"/>
        </w:rPr>
      </w:pPr>
      <w:r w:rsidRPr="00590EED">
        <w:t>To satisfy the specified tasks, the RCC</w:t>
      </w:r>
      <w:r>
        <w:t> </w:t>
      </w:r>
      <w:r w:rsidRPr="00590EED">
        <w:t>Administrations</w:t>
      </w:r>
      <w:r>
        <w:t xml:space="preserve"> </w:t>
      </w:r>
      <w:r w:rsidRPr="00590EED">
        <w:t xml:space="preserve">support modification to Resolution </w:t>
      </w:r>
      <w:r w:rsidRPr="00FA51CA">
        <w:rPr>
          <w:b/>
        </w:rPr>
        <w:t>205 (WRC-12)</w:t>
      </w:r>
      <w:r w:rsidRPr="00590EED">
        <w:t xml:space="preserve"> and inclusion in the </w:t>
      </w:r>
      <w:r w:rsidRPr="00FA51CA">
        <w:t>Article</w:t>
      </w:r>
      <w:r>
        <w:t> </w:t>
      </w:r>
      <w:r w:rsidRPr="007A7D6A">
        <w:rPr>
          <w:b/>
        </w:rPr>
        <w:t>5</w:t>
      </w:r>
      <w:r w:rsidRPr="00FA51CA">
        <w:t xml:space="preserve"> </w:t>
      </w:r>
      <w:r w:rsidRPr="00590EED">
        <w:t xml:space="preserve">a footnote with reference </w:t>
      </w:r>
      <w:r w:rsidRPr="007A7D6A">
        <w:t>to Resolution</w:t>
      </w:r>
      <w:r w:rsidRPr="00FA51CA">
        <w:rPr>
          <w:b/>
        </w:rPr>
        <w:t xml:space="preserve"> 205 (WRC-12)</w:t>
      </w:r>
      <w:r w:rsidR="000A34A1" w:rsidRPr="00E50048">
        <w:rPr>
          <w:lang w:val="en-GB"/>
        </w:rPr>
        <w:t>.</w:t>
      </w:r>
    </w:p>
    <w:p w:rsidR="000A34A1" w:rsidRPr="00E50048" w:rsidRDefault="000A34A1" w:rsidP="000A34A1">
      <w:pPr>
        <w:pStyle w:val="Heading3"/>
        <w:rPr>
          <w:lang w:val="en-GB"/>
        </w:rPr>
      </w:pPr>
      <w:r w:rsidRPr="00E50048">
        <w:rPr>
          <w:lang w:val="en-GB"/>
        </w:rPr>
        <w:t>9</w:t>
      </w:r>
      <w:r w:rsidRPr="00E50048">
        <w:rPr>
          <w:lang w:val="en-GB"/>
        </w:rPr>
        <w:tab/>
        <w:t>Agenda item 9.1.5</w:t>
      </w:r>
    </w:p>
    <w:p w:rsidR="000A34A1" w:rsidRPr="00E50048" w:rsidRDefault="000A34A1" w:rsidP="000A34A1">
      <w:pPr>
        <w:rPr>
          <w:b/>
          <w:i/>
          <w:lang w:val="en-GB"/>
        </w:rPr>
      </w:pPr>
      <w:r w:rsidRPr="00E50048">
        <w:rPr>
          <w:i/>
          <w:lang w:val="en-GB"/>
        </w:rPr>
        <w:t>“Consideration of technical and regulatory actions in order to support existing and future operation of fixed</w:t>
      </w:r>
      <w:r w:rsidRPr="00E50048">
        <w:rPr>
          <w:i/>
          <w:lang w:val="en-GB"/>
        </w:rPr>
        <w:noBreakHyphen/>
        <w:t>satellite service earth stations within the band 3 400-4 200 MHz, as an aid to the safe operation of aircraft and reliable distribution of meteorological information in some countries in Region 1 (Resolution </w:t>
      </w:r>
      <w:r w:rsidRPr="00E50048">
        <w:rPr>
          <w:b/>
          <w:bCs/>
          <w:i/>
          <w:lang w:val="en-GB"/>
        </w:rPr>
        <w:t>154 (WRC-12)</w:t>
      </w:r>
      <w:r w:rsidRPr="00E50048">
        <w:rPr>
          <w:i/>
          <w:lang w:val="en-GB"/>
        </w:rPr>
        <w:t>).”</w:t>
      </w:r>
    </w:p>
    <w:p w:rsidR="0053417F" w:rsidRPr="00590EED" w:rsidRDefault="0053417F" w:rsidP="0053417F">
      <w:pPr>
        <w:spacing w:before="80" w:beforeAutospacing="0" w:after="0" w:afterAutospacing="0"/>
        <w:jc w:val="both"/>
      </w:pPr>
      <w:r w:rsidRPr="00590EED">
        <w:t>The RCC</w:t>
      </w:r>
      <w:r>
        <w:t> </w:t>
      </w:r>
      <w:r w:rsidRPr="00590EED">
        <w:t>Administrations support the development of possible technical and regulatory measures in some countries in Region</w:t>
      </w:r>
      <w:r>
        <w:t> </w:t>
      </w:r>
      <w:r w:rsidRPr="00590EED">
        <w:t>1 (on a national basis) in order to ensure the operation of existing and future fixed-satellite service earth stations within the band 3</w:t>
      </w:r>
      <w:r>
        <w:t> </w:t>
      </w:r>
      <w:r w:rsidRPr="00590EED">
        <w:t>400-4</w:t>
      </w:r>
      <w:r>
        <w:t> </w:t>
      </w:r>
      <w:r w:rsidRPr="00590EED">
        <w:t>200</w:t>
      </w:r>
      <w:r>
        <w:t> </w:t>
      </w:r>
      <w:r w:rsidRPr="00590EED">
        <w:t xml:space="preserve">MHz used for satellite communications related to safe operation of aircraft and reliable distribution of meteorological information. </w:t>
      </w:r>
    </w:p>
    <w:p w:rsidR="0053417F" w:rsidRPr="00590EED" w:rsidRDefault="0053417F" w:rsidP="0053417F">
      <w:pPr>
        <w:spacing w:before="80" w:beforeAutospacing="0" w:after="0" w:afterAutospacing="0"/>
        <w:jc w:val="both"/>
      </w:pPr>
      <w:r w:rsidRPr="00590EED">
        <w:t xml:space="preserve">In order to protect FSS earth stations from IMT networks in the </w:t>
      </w:r>
      <w:r>
        <w:t xml:space="preserve">frequency </w:t>
      </w:r>
      <w:r w:rsidRPr="00590EED">
        <w:t>band 3</w:t>
      </w:r>
      <w:r>
        <w:t> </w:t>
      </w:r>
      <w:r w:rsidRPr="00590EED">
        <w:t>400-3</w:t>
      </w:r>
      <w:r>
        <w:t> </w:t>
      </w:r>
      <w:r w:rsidRPr="00590EED">
        <w:t>600</w:t>
      </w:r>
      <w:r>
        <w:t> </w:t>
      </w:r>
      <w:r w:rsidRPr="00590EED">
        <w:t>MHz on a national basis it is possible to use technical conditions of RR No</w:t>
      </w:r>
      <w:r>
        <w:t>. </w:t>
      </w:r>
      <w:r w:rsidRPr="00590EED">
        <w:rPr>
          <w:b/>
        </w:rPr>
        <w:t>5.340A.</w:t>
      </w:r>
    </w:p>
    <w:p w:rsidR="0053417F" w:rsidRPr="00590EED" w:rsidRDefault="0053417F" w:rsidP="0053417F">
      <w:pPr>
        <w:spacing w:before="80" w:beforeAutospacing="0" w:after="0" w:afterAutospacing="0"/>
        <w:jc w:val="both"/>
      </w:pPr>
      <w:r w:rsidRPr="00590EED">
        <w:lastRenderedPageBreak/>
        <w:t xml:space="preserve">The conditions for protection of FSS earth stations in the </w:t>
      </w:r>
      <w:r>
        <w:t xml:space="preserve">frequency </w:t>
      </w:r>
      <w:r w:rsidRPr="00590EED">
        <w:t>band 3</w:t>
      </w:r>
      <w:r>
        <w:t> </w:t>
      </w:r>
      <w:r w:rsidRPr="00590EED">
        <w:t>400-3</w:t>
      </w:r>
      <w:r>
        <w:t> </w:t>
      </w:r>
      <w:r w:rsidRPr="00590EED">
        <w:t>600</w:t>
      </w:r>
      <w:r>
        <w:t> </w:t>
      </w:r>
      <w:r w:rsidRPr="00590EED">
        <w:t>MHz from new networks of fixed and mobile services including wireless access systems must be determined on the basis of ITU-R studies on compatibility between these systems and FSS earth stations, carried out in the framework of this issue.</w:t>
      </w:r>
    </w:p>
    <w:p w:rsidR="000A34A1" w:rsidRPr="0053417F" w:rsidRDefault="0053417F" w:rsidP="0053417F">
      <w:pPr>
        <w:spacing w:before="80" w:beforeAutospacing="0"/>
        <w:jc w:val="both"/>
      </w:pPr>
      <w:r w:rsidRPr="00590EED">
        <w:t>The RCC</w:t>
      </w:r>
      <w:r>
        <w:t> </w:t>
      </w:r>
      <w:r w:rsidRPr="00590EED">
        <w:t>Administrations consider that technical and regulatory measures under Resolution</w:t>
      </w:r>
      <w:r>
        <w:t> </w:t>
      </w:r>
      <w:r w:rsidRPr="00590EED">
        <w:rPr>
          <w:b/>
        </w:rPr>
        <w:t>154</w:t>
      </w:r>
      <w:r>
        <w:rPr>
          <w:b/>
        </w:rPr>
        <w:t> </w:t>
      </w:r>
      <w:r w:rsidRPr="00590EED">
        <w:rPr>
          <w:b/>
        </w:rPr>
        <w:t xml:space="preserve">(WRC-12) </w:t>
      </w:r>
      <w:r w:rsidRPr="00590EED">
        <w:t>shall not limit the use of the band 3</w:t>
      </w:r>
      <w:r>
        <w:t> </w:t>
      </w:r>
      <w:r w:rsidRPr="00590EED">
        <w:t>400-4</w:t>
      </w:r>
      <w:r>
        <w:t> </w:t>
      </w:r>
      <w:r w:rsidRPr="00590EED">
        <w:t>200</w:t>
      </w:r>
      <w:r>
        <w:t> </w:t>
      </w:r>
      <w:r w:rsidRPr="00590EED">
        <w:t xml:space="preserve">MHz by other existing and planned systems and services in other countries, including </w:t>
      </w:r>
      <w:r>
        <w:t xml:space="preserve">the </w:t>
      </w:r>
      <w:r w:rsidRPr="00590EED">
        <w:t>SOS for th</w:t>
      </w:r>
      <w:r>
        <w:t>e purpose of spacecraft control</w:t>
      </w:r>
      <w:r w:rsidR="000A34A1" w:rsidRPr="00A33EAB">
        <w:t>.</w:t>
      </w:r>
    </w:p>
    <w:p w:rsidR="000A34A1" w:rsidRPr="001E5315" w:rsidRDefault="000A34A1" w:rsidP="000A34A1">
      <w:pPr>
        <w:pStyle w:val="Heading3"/>
        <w:rPr>
          <w:lang w:val="en-GB"/>
        </w:rPr>
      </w:pPr>
      <w:r w:rsidRPr="00E50048">
        <w:rPr>
          <w:lang w:val="en-GB"/>
        </w:rPr>
        <w:t>10</w:t>
      </w:r>
      <w:r w:rsidRPr="00E50048">
        <w:rPr>
          <w:lang w:val="en-GB"/>
        </w:rPr>
        <w:tab/>
        <w:t>Agenda item 9.1.8</w:t>
      </w:r>
    </w:p>
    <w:p w:rsidR="000A34A1" w:rsidRPr="00E50048" w:rsidRDefault="000A34A1" w:rsidP="000A34A1">
      <w:pPr>
        <w:rPr>
          <w:b/>
          <w:i/>
          <w:lang w:val="en-GB"/>
        </w:rPr>
      </w:pPr>
      <w:r>
        <w:rPr>
          <w:i/>
          <w:lang w:val="en-GB"/>
        </w:rPr>
        <w:t>“C</w:t>
      </w:r>
      <w:r w:rsidRPr="00E50048">
        <w:rPr>
          <w:i/>
          <w:lang w:val="en-GB"/>
        </w:rPr>
        <w:t xml:space="preserve">onsider and approve the Report of the Director on the ITU-R activities on regulatory aspects for </w:t>
      </w:r>
      <w:proofErr w:type="spellStart"/>
      <w:r w:rsidRPr="00E50048">
        <w:rPr>
          <w:i/>
          <w:lang w:val="en-GB"/>
        </w:rPr>
        <w:t>nano</w:t>
      </w:r>
      <w:proofErr w:type="spellEnd"/>
      <w:r w:rsidRPr="00E50048">
        <w:rPr>
          <w:i/>
          <w:lang w:val="en-GB"/>
        </w:rPr>
        <w:t>-and picosatellites</w:t>
      </w:r>
      <w:r>
        <w:rPr>
          <w:i/>
          <w:lang w:val="en-GB"/>
        </w:rPr>
        <w:t>”</w:t>
      </w:r>
      <w:r w:rsidRPr="00E50048">
        <w:rPr>
          <w:i/>
          <w:lang w:val="en-GB"/>
        </w:rPr>
        <w:t>.</w:t>
      </w:r>
    </w:p>
    <w:p w:rsidR="0053417F" w:rsidRPr="0053417F" w:rsidRDefault="0053417F" w:rsidP="0053417F">
      <w:pPr>
        <w:tabs>
          <w:tab w:val="left" w:pos="567"/>
        </w:tabs>
        <w:spacing w:before="80" w:beforeAutospacing="0" w:after="0" w:afterAutospacing="0"/>
        <w:jc w:val="both"/>
        <w:rPr>
          <w:color w:val="000000" w:themeColor="text1"/>
        </w:rPr>
      </w:pPr>
      <w:r w:rsidRPr="0053417F">
        <w:rPr>
          <w:color w:val="000000" w:themeColor="text1"/>
        </w:rPr>
        <w:t xml:space="preserve">The RCC Administrations consider that any changes in the notification procedures of satellite networks operating </w:t>
      </w:r>
      <w:proofErr w:type="spellStart"/>
      <w:r w:rsidRPr="0053417F">
        <w:rPr>
          <w:color w:val="000000" w:themeColor="text1"/>
        </w:rPr>
        <w:t>nano</w:t>
      </w:r>
      <w:proofErr w:type="spellEnd"/>
      <w:r w:rsidRPr="0053417F">
        <w:rPr>
          <w:color w:val="000000" w:themeColor="text1"/>
        </w:rPr>
        <w:t>-and picosatellites should not lead to complications in the notification</w:t>
      </w:r>
      <w:r w:rsidRPr="0053417F">
        <w:t>, coordination and</w:t>
      </w:r>
      <w:r w:rsidRPr="0053417F">
        <w:rPr>
          <w:color w:val="000000" w:themeColor="text1"/>
        </w:rPr>
        <w:t xml:space="preserve"> use of other satellite networks. Necessary changes could be included in the RR at WRC-1</w:t>
      </w:r>
      <w:r>
        <w:rPr>
          <w:color w:val="000000" w:themeColor="text1"/>
        </w:rPr>
        <w:t>9</w:t>
      </w:r>
      <w:r w:rsidRPr="0053417F">
        <w:rPr>
          <w:color w:val="000000" w:themeColor="text1"/>
        </w:rPr>
        <w:t>.</w:t>
      </w:r>
    </w:p>
    <w:p w:rsidR="000A34A1" w:rsidRPr="0053417F" w:rsidRDefault="0053417F" w:rsidP="0053417F">
      <w:pPr>
        <w:pStyle w:val="Texte"/>
        <w:widowControl w:val="0"/>
        <w:suppressAutoHyphens/>
        <w:spacing w:before="80"/>
        <w:jc w:val="left"/>
        <w:rPr>
          <w:rFonts w:ascii="Times New Roman" w:hAnsi="Times New Roman"/>
          <w:sz w:val="24"/>
        </w:rPr>
      </w:pPr>
      <w:r w:rsidRPr="0053417F">
        <w:rPr>
          <w:rFonts w:ascii="Times New Roman" w:hAnsi="Times New Roman"/>
          <w:sz w:val="24"/>
          <w:lang w:val="en-US"/>
        </w:rPr>
        <w:t>Appropriate changes should be confirmed by ITU studies</w:t>
      </w:r>
      <w:r w:rsidR="000A34A1" w:rsidRPr="0053417F">
        <w:rPr>
          <w:rFonts w:ascii="Times New Roman" w:hAnsi="Times New Roman"/>
          <w:sz w:val="24"/>
        </w:rPr>
        <w:t>.</w:t>
      </w:r>
    </w:p>
    <w:p w:rsidR="000A34A1" w:rsidRPr="00E50048" w:rsidRDefault="000A34A1" w:rsidP="000A34A1">
      <w:pPr>
        <w:pStyle w:val="Heading3"/>
        <w:rPr>
          <w:lang w:val="en-GB"/>
        </w:rPr>
      </w:pPr>
      <w:r w:rsidRPr="00E50048">
        <w:rPr>
          <w:lang w:val="en-GB"/>
        </w:rPr>
        <w:t>1</w:t>
      </w:r>
      <w:r>
        <w:rPr>
          <w:lang w:val="en-GB"/>
        </w:rPr>
        <w:t>1</w:t>
      </w:r>
      <w:r w:rsidRPr="00E50048">
        <w:rPr>
          <w:lang w:val="en-GB"/>
        </w:rPr>
        <w:tab/>
        <w:t>Agenda item 10</w:t>
      </w:r>
    </w:p>
    <w:p w:rsidR="000A34A1" w:rsidRPr="00E50048" w:rsidRDefault="000A34A1" w:rsidP="000A34A1">
      <w:pPr>
        <w:rPr>
          <w:b/>
          <w:i/>
          <w:lang w:val="en-GB"/>
        </w:rPr>
      </w:pPr>
      <w:r w:rsidRPr="00E50048">
        <w:rPr>
          <w:i/>
          <w:lang w:val="en-GB"/>
        </w:rPr>
        <w:t>“to recommend to the Council items for inclusion in the Agenda for the next WRC, and to give its views on the preliminary agenda for the subsequent conference and on possible agenda items for future conferences, in accordance with Article </w:t>
      </w:r>
      <w:r w:rsidRPr="00E50048">
        <w:rPr>
          <w:b/>
          <w:bCs/>
          <w:i/>
          <w:lang w:val="en-GB"/>
        </w:rPr>
        <w:t>7</w:t>
      </w:r>
      <w:r w:rsidRPr="00E50048">
        <w:rPr>
          <w:i/>
          <w:lang w:val="en-GB"/>
        </w:rPr>
        <w:t xml:space="preserve"> of the Convention, (Resolution </w:t>
      </w:r>
      <w:r w:rsidRPr="00E50048">
        <w:rPr>
          <w:b/>
          <w:bCs/>
          <w:i/>
          <w:lang w:val="en-GB"/>
        </w:rPr>
        <w:t>808 (WRC-12)</w:t>
      </w:r>
      <w:r w:rsidRPr="00E50048">
        <w:rPr>
          <w:i/>
          <w:lang w:val="en-GB"/>
        </w:rPr>
        <w:t>).”</w:t>
      </w:r>
    </w:p>
    <w:p w:rsidR="00CF0167" w:rsidRDefault="0053417F" w:rsidP="000A34A1">
      <w:pPr>
        <w:spacing w:before="80" w:beforeAutospacing="0" w:after="0" w:afterAutospacing="0"/>
        <w:rPr>
          <w:lang w:val="en-GB"/>
        </w:rPr>
      </w:pPr>
      <w:r>
        <w:rPr>
          <w:lang w:val="en-GB"/>
        </w:rPr>
        <w:t>The RCC Administrations position/common proposals are still under development.</w:t>
      </w:r>
    </w:p>
    <w:p w:rsidR="000A34A1" w:rsidRPr="00E50048" w:rsidRDefault="000A34A1" w:rsidP="000A34A1">
      <w:pPr>
        <w:rPr>
          <w:lang w:val="en-GB"/>
        </w:rPr>
      </w:pPr>
    </w:p>
    <w:p w:rsidR="004306C2" w:rsidRDefault="000A34A1" w:rsidP="00A74C09">
      <w:pPr>
        <w:jc w:val="center"/>
      </w:pPr>
      <w:r w:rsidRPr="00E50048">
        <w:rPr>
          <w:lang w:val="en-GB"/>
        </w:rPr>
        <w:t>______________</w:t>
      </w:r>
    </w:p>
    <w:sectPr w:rsidR="004306C2" w:rsidSect="00A74C09">
      <w:headerReference w:type="even" r:id="rId10"/>
      <w:headerReference w:type="default" r:id="rId11"/>
      <w:footerReference w:type="even" r:id="rId12"/>
      <w:footerReference w:type="default" r:id="rId13"/>
      <w:headerReference w:type="first" r:id="rId14"/>
      <w:footerReference w:type="first" r:id="rId15"/>
      <w:pgSz w:w="11907" w:h="16840" w:code="9"/>
      <w:pgMar w:top="1140" w:right="720" w:bottom="1140" w:left="11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75" w:rsidRDefault="00083375" w:rsidP="007A73F8">
      <w:pPr>
        <w:spacing w:before="0" w:after="0"/>
      </w:pPr>
      <w:r>
        <w:separator/>
      </w:r>
    </w:p>
  </w:endnote>
  <w:endnote w:type="continuationSeparator" w:id="0">
    <w:p w:rsidR="00083375" w:rsidRDefault="00083375"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12" w:rsidRDefault="00BF7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12" w:rsidRDefault="00BF7C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12" w:rsidRDefault="00BF7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75" w:rsidRDefault="00083375" w:rsidP="007A73F8">
      <w:pPr>
        <w:spacing w:before="0" w:after="0"/>
      </w:pPr>
      <w:r>
        <w:separator/>
      </w:r>
    </w:p>
  </w:footnote>
  <w:footnote w:type="continuationSeparator" w:id="0">
    <w:p w:rsidR="00083375" w:rsidRDefault="00083375" w:rsidP="007A73F8">
      <w:pPr>
        <w:spacing w:before="0" w:after="0"/>
      </w:pPr>
      <w:r>
        <w:continuationSeparator/>
      </w:r>
    </w:p>
  </w:footnote>
  <w:footnote w:id="1">
    <w:p w:rsidR="003B1615" w:rsidRDefault="003B1615" w:rsidP="003B16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12" w:rsidRDefault="00BF7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7F" w:rsidRPr="009C443D" w:rsidRDefault="00886033" w:rsidP="00161E7F">
    <w:pPr>
      <w:pStyle w:val="Header"/>
      <w:spacing w:beforeAutospacing="0" w:afterAutospacing="0"/>
      <w:jc w:val="center"/>
      <w:rPr>
        <w:rStyle w:val="PageNumber"/>
        <w:sz w:val="18"/>
        <w:szCs w:val="18"/>
      </w:rPr>
    </w:pPr>
    <w:r>
      <w:rPr>
        <w:sz w:val="18"/>
        <w:szCs w:val="18"/>
      </w:rPr>
      <w:t xml:space="preserve"> SG-RFC 2015. </w:t>
    </w:r>
    <w:r>
      <w:rPr>
        <w:sz w:val="18"/>
        <w:szCs w:val="18"/>
      </w:rPr>
      <w:t>Doc25r</w:t>
    </w:r>
    <w:r w:rsidR="00BF7C12">
      <w:rPr>
        <w:sz w:val="18"/>
        <w:szCs w:val="18"/>
      </w:rPr>
      <w:t>2.</w:t>
    </w:r>
    <w:bookmarkStart w:id="7" w:name="_GoBack"/>
    <w:bookmarkEnd w:id="7"/>
    <w:r>
      <w:rPr>
        <w:sz w:val="18"/>
        <w:szCs w:val="18"/>
      </w:rPr>
      <w:t xml:space="preserve"> Page </w:t>
    </w:r>
    <w:r w:rsidR="00161E7F" w:rsidRPr="009C443D">
      <w:rPr>
        <w:sz w:val="18"/>
        <w:szCs w:val="18"/>
      </w:rPr>
      <w:t xml:space="preserve">- </w:t>
    </w:r>
    <w:r w:rsidR="00161E7F" w:rsidRPr="009C443D">
      <w:rPr>
        <w:rStyle w:val="PageNumber"/>
        <w:sz w:val="18"/>
        <w:szCs w:val="18"/>
      </w:rPr>
      <w:fldChar w:fldCharType="begin"/>
    </w:r>
    <w:r w:rsidR="00161E7F" w:rsidRPr="009C443D">
      <w:rPr>
        <w:rStyle w:val="PageNumber"/>
        <w:sz w:val="18"/>
        <w:szCs w:val="18"/>
      </w:rPr>
      <w:instrText xml:space="preserve"> PAGE </w:instrText>
    </w:r>
    <w:r w:rsidR="00161E7F" w:rsidRPr="009C443D">
      <w:rPr>
        <w:rStyle w:val="PageNumber"/>
        <w:sz w:val="18"/>
        <w:szCs w:val="18"/>
      </w:rPr>
      <w:fldChar w:fldCharType="separate"/>
    </w:r>
    <w:r w:rsidR="00BF7C12">
      <w:rPr>
        <w:rStyle w:val="PageNumber"/>
        <w:noProof/>
        <w:sz w:val="18"/>
        <w:szCs w:val="18"/>
      </w:rPr>
      <w:t>2</w:t>
    </w:r>
    <w:r w:rsidR="00161E7F" w:rsidRPr="009C443D">
      <w:rPr>
        <w:rStyle w:val="PageNumber"/>
        <w:sz w:val="18"/>
        <w:szCs w:val="18"/>
      </w:rPr>
      <w:fldChar w:fldCharType="end"/>
    </w:r>
    <w:r w:rsidR="00161E7F" w:rsidRPr="009C443D">
      <w:rPr>
        <w:rStyle w:val="PageNumber"/>
        <w:sz w:val="18"/>
        <w:szCs w:val="18"/>
      </w:rPr>
      <w:t xml:space="preserve"> -</w:t>
    </w:r>
  </w:p>
  <w:p w:rsidR="00161E7F" w:rsidRPr="009C443D" w:rsidRDefault="00161E7F" w:rsidP="00161E7F">
    <w:pPr>
      <w:pStyle w:val="Header"/>
      <w:spacing w:beforeAutospacing="0" w:afterAutospacing="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E5" w:rsidRPr="00A94A1D" w:rsidRDefault="002104E5" w:rsidP="00A74C09">
    <w:pPr>
      <w:pStyle w:val="Header"/>
      <w:spacing w:beforeAutospacing="0" w:afterAutospacing="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F0B"/>
    <w:multiLevelType w:val="multilevel"/>
    <w:tmpl w:val="0968524C"/>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bCs/>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7B5BD5"/>
    <w:multiLevelType w:val="hybridMultilevel"/>
    <w:tmpl w:val="04823D02"/>
    <w:lvl w:ilvl="0" w:tplc="44527B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1A7F"/>
    <w:multiLevelType w:val="hybridMultilevel"/>
    <w:tmpl w:val="B79C870E"/>
    <w:lvl w:ilvl="0" w:tplc="BB2052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67885"/>
    <w:multiLevelType w:val="hybridMultilevel"/>
    <w:tmpl w:val="91D4D5B6"/>
    <w:lvl w:ilvl="0" w:tplc="74CE6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87A02"/>
    <w:multiLevelType w:val="hybridMultilevel"/>
    <w:tmpl w:val="3962F2D4"/>
    <w:lvl w:ilvl="0" w:tplc="6E3A243C">
      <w:start w:val="1"/>
      <w:numFmt w:val="bullet"/>
      <w:pStyle w:val="ECCParBulleted"/>
      <w:lvlText w:val=""/>
      <w:lvlJc w:val="left"/>
      <w:pPr>
        <w:tabs>
          <w:tab w:val="num" w:pos="624"/>
        </w:tabs>
        <w:ind w:left="624"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5" w15:restartNumberingAfterBreak="0">
    <w:nsid w:val="215D1A30"/>
    <w:multiLevelType w:val="hybridMultilevel"/>
    <w:tmpl w:val="A4C48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C1756"/>
    <w:multiLevelType w:val="hybridMultilevel"/>
    <w:tmpl w:val="D92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545B1"/>
    <w:multiLevelType w:val="hybridMultilevel"/>
    <w:tmpl w:val="B618701A"/>
    <w:lvl w:ilvl="0" w:tplc="74CE6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464BE"/>
    <w:multiLevelType w:val="hybridMultilevel"/>
    <w:tmpl w:val="31A29A60"/>
    <w:lvl w:ilvl="0" w:tplc="74CE6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0145A"/>
    <w:multiLevelType w:val="hybridMultilevel"/>
    <w:tmpl w:val="6D62EBE0"/>
    <w:lvl w:ilvl="0" w:tplc="C1B022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CD312BE"/>
    <w:multiLevelType w:val="hybridMultilevel"/>
    <w:tmpl w:val="D76A74C0"/>
    <w:lvl w:ilvl="0" w:tplc="65501E8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F6E7B4F"/>
    <w:multiLevelType w:val="hybridMultilevel"/>
    <w:tmpl w:val="0F64D24C"/>
    <w:lvl w:ilvl="0" w:tplc="B1045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075E4"/>
    <w:multiLevelType w:val="hybridMultilevel"/>
    <w:tmpl w:val="082A8F7E"/>
    <w:lvl w:ilvl="0" w:tplc="076047F8">
      <w:start w:val="1"/>
      <w:numFmt w:val="decimal"/>
      <w:lvlText w:val="(%1)"/>
      <w:legacy w:legacy="1" w:legacySpace="0" w:legacyIndent="1134"/>
      <w:lvlJc w:val="left"/>
      <w:pPr>
        <w:ind w:left="1134" w:hanging="113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4F7B90"/>
    <w:multiLevelType w:val="hybridMultilevel"/>
    <w:tmpl w:val="47A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55B62"/>
    <w:multiLevelType w:val="hybridMultilevel"/>
    <w:tmpl w:val="0874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3E0A01"/>
    <w:multiLevelType w:val="hybridMultilevel"/>
    <w:tmpl w:val="DEB8E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D563CD"/>
    <w:multiLevelType w:val="hybridMultilevel"/>
    <w:tmpl w:val="08F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324CE"/>
    <w:multiLevelType w:val="hybridMultilevel"/>
    <w:tmpl w:val="066831FC"/>
    <w:lvl w:ilvl="0" w:tplc="44B690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E2269"/>
    <w:multiLevelType w:val="hybridMultilevel"/>
    <w:tmpl w:val="A3A8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B5084"/>
    <w:multiLevelType w:val="hybridMultilevel"/>
    <w:tmpl w:val="55146270"/>
    <w:lvl w:ilvl="0" w:tplc="74CE6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18"/>
  </w:num>
  <w:num w:numId="5">
    <w:abstractNumId w:val="5"/>
  </w:num>
  <w:num w:numId="6">
    <w:abstractNumId w:val="6"/>
  </w:num>
  <w:num w:numId="7">
    <w:abstractNumId w:val="13"/>
  </w:num>
  <w:num w:numId="8">
    <w:abstractNumId w:val="15"/>
  </w:num>
  <w:num w:numId="9">
    <w:abstractNumId w:val="4"/>
  </w:num>
  <w:num w:numId="10">
    <w:abstractNumId w:val="14"/>
  </w:num>
  <w:num w:numId="11">
    <w:abstractNumId w:val="12"/>
  </w:num>
  <w:num w:numId="12">
    <w:abstractNumId w:val="16"/>
  </w:num>
  <w:num w:numId="13">
    <w:abstractNumId w:val="19"/>
  </w:num>
  <w:num w:numId="14">
    <w:abstractNumId w:val="2"/>
  </w:num>
  <w:num w:numId="15">
    <w:abstractNumId w:val="8"/>
  </w:num>
  <w:num w:numId="16">
    <w:abstractNumId w:val="11"/>
  </w:num>
  <w:num w:numId="17">
    <w:abstractNumId w:val="3"/>
  </w:num>
  <w:num w:numId="18">
    <w:abstractNumId w:val="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displayBackgroundShape/>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B"/>
    <w:rsid w:val="00022D34"/>
    <w:rsid w:val="00025098"/>
    <w:rsid w:val="00037416"/>
    <w:rsid w:val="000604FB"/>
    <w:rsid w:val="0007435D"/>
    <w:rsid w:val="00082939"/>
    <w:rsid w:val="00083375"/>
    <w:rsid w:val="000858D5"/>
    <w:rsid w:val="000A34A1"/>
    <w:rsid w:val="000A504D"/>
    <w:rsid w:val="000A63C5"/>
    <w:rsid w:val="000C19F0"/>
    <w:rsid w:val="000C66FB"/>
    <w:rsid w:val="000C7D6D"/>
    <w:rsid w:val="000E608D"/>
    <w:rsid w:val="00102305"/>
    <w:rsid w:val="00113766"/>
    <w:rsid w:val="0014262E"/>
    <w:rsid w:val="00161E7F"/>
    <w:rsid w:val="00167708"/>
    <w:rsid w:val="00176A42"/>
    <w:rsid w:val="0018521E"/>
    <w:rsid w:val="001C28E8"/>
    <w:rsid w:val="002104E5"/>
    <w:rsid w:val="002140B3"/>
    <w:rsid w:val="00230902"/>
    <w:rsid w:val="00282E8A"/>
    <w:rsid w:val="002A5FFC"/>
    <w:rsid w:val="002A6B41"/>
    <w:rsid w:val="002C033E"/>
    <w:rsid w:val="002C0AD8"/>
    <w:rsid w:val="002C7142"/>
    <w:rsid w:val="0031180B"/>
    <w:rsid w:val="00321891"/>
    <w:rsid w:val="003248AE"/>
    <w:rsid w:val="00347E8E"/>
    <w:rsid w:val="0036338C"/>
    <w:rsid w:val="003814BC"/>
    <w:rsid w:val="003817ED"/>
    <w:rsid w:val="003B1615"/>
    <w:rsid w:val="003B4DFF"/>
    <w:rsid w:val="003F34E2"/>
    <w:rsid w:val="0040030A"/>
    <w:rsid w:val="00401B08"/>
    <w:rsid w:val="00403383"/>
    <w:rsid w:val="004306C2"/>
    <w:rsid w:val="0044117D"/>
    <w:rsid w:val="004960F3"/>
    <w:rsid w:val="00502AB1"/>
    <w:rsid w:val="005255DC"/>
    <w:rsid w:val="0053417F"/>
    <w:rsid w:val="005666E7"/>
    <w:rsid w:val="005743BF"/>
    <w:rsid w:val="005763F1"/>
    <w:rsid w:val="00596C6A"/>
    <w:rsid w:val="005B7098"/>
    <w:rsid w:val="005F31BF"/>
    <w:rsid w:val="00604C1A"/>
    <w:rsid w:val="00643148"/>
    <w:rsid w:val="00683FE2"/>
    <w:rsid w:val="006A1505"/>
    <w:rsid w:val="006B4441"/>
    <w:rsid w:val="00701FDB"/>
    <w:rsid w:val="00713F92"/>
    <w:rsid w:val="00722F96"/>
    <w:rsid w:val="00763EBB"/>
    <w:rsid w:val="00770E29"/>
    <w:rsid w:val="00772B96"/>
    <w:rsid w:val="007777CB"/>
    <w:rsid w:val="007A4FFC"/>
    <w:rsid w:val="007A73F8"/>
    <w:rsid w:val="007A7D6A"/>
    <w:rsid w:val="007B4377"/>
    <w:rsid w:val="007E2084"/>
    <w:rsid w:val="007E4BC6"/>
    <w:rsid w:val="008075D2"/>
    <w:rsid w:val="00812884"/>
    <w:rsid w:val="008276D1"/>
    <w:rsid w:val="008563D0"/>
    <w:rsid w:val="008579FC"/>
    <w:rsid w:val="00860423"/>
    <w:rsid w:val="00886033"/>
    <w:rsid w:val="008904CE"/>
    <w:rsid w:val="00891B49"/>
    <w:rsid w:val="0089603C"/>
    <w:rsid w:val="008C227F"/>
    <w:rsid w:val="008D24C5"/>
    <w:rsid w:val="00927BAA"/>
    <w:rsid w:val="0093198A"/>
    <w:rsid w:val="0093453D"/>
    <w:rsid w:val="009924E9"/>
    <w:rsid w:val="009A262E"/>
    <w:rsid w:val="009C1333"/>
    <w:rsid w:val="009C443D"/>
    <w:rsid w:val="009C66BC"/>
    <w:rsid w:val="009D4652"/>
    <w:rsid w:val="009E6BD8"/>
    <w:rsid w:val="00A30EDB"/>
    <w:rsid w:val="00A409CB"/>
    <w:rsid w:val="00A4189B"/>
    <w:rsid w:val="00A5032A"/>
    <w:rsid w:val="00A679AB"/>
    <w:rsid w:val="00A74C09"/>
    <w:rsid w:val="00A801DB"/>
    <w:rsid w:val="00A94A1D"/>
    <w:rsid w:val="00A97839"/>
    <w:rsid w:val="00AC557E"/>
    <w:rsid w:val="00AF2092"/>
    <w:rsid w:val="00AF3F22"/>
    <w:rsid w:val="00AF4D50"/>
    <w:rsid w:val="00B01489"/>
    <w:rsid w:val="00B0701D"/>
    <w:rsid w:val="00B07B9D"/>
    <w:rsid w:val="00B310D2"/>
    <w:rsid w:val="00B536AF"/>
    <w:rsid w:val="00B7498E"/>
    <w:rsid w:val="00B95774"/>
    <w:rsid w:val="00BB2405"/>
    <w:rsid w:val="00BC4465"/>
    <w:rsid w:val="00BF7C12"/>
    <w:rsid w:val="00C33769"/>
    <w:rsid w:val="00C34014"/>
    <w:rsid w:val="00C42450"/>
    <w:rsid w:val="00C45C3B"/>
    <w:rsid w:val="00C66202"/>
    <w:rsid w:val="00C83331"/>
    <w:rsid w:val="00CA0ED3"/>
    <w:rsid w:val="00CB5995"/>
    <w:rsid w:val="00CD00D2"/>
    <w:rsid w:val="00CE3CBF"/>
    <w:rsid w:val="00CF0167"/>
    <w:rsid w:val="00CF179D"/>
    <w:rsid w:val="00D027EB"/>
    <w:rsid w:val="00D056D6"/>
    <w:rsid w:val="00D20E99"/>
    <w:rsid w:val="00D35781"/>
    <w:rsid w:val="00D362C0"/>
    <w:rsid w:val="00D72A74"/>
    <w:rsid w:val="00D82D5A"/>
    <w:rsid w:val="00DC1CA7"/>
    <w:rsid w:val="00DC5580"/>
    <w:rsid w:val="00DD32FB"/>
    <w:rsid w:val="00DE4151"/>
    <w:rsid w:val="00E30F56"/>
    <w:rsid w:val="00E36DEB"/>
    <w:rsid w:val="00E40D8F"/>
    <w:rsid w:val="00E43A0B"/>
    <w:rsid w:val="00E71801"/>
    <w:rsid w:val="00E83FF4"/>
    <w:rsid w:val="00E91520"/>
    <w:rsid w:val="00EA3856"/>
    <w:rsid w:val="00EC1445"/>
    <w:rsid w:val="00EF2733"/>
    <w:rsid w:val="00F07509"/>
    <w:rsid w:val="00F250BE"/>
    <w:rsid w:val="00F30103"/>
    <w:rsid w:val="00F4174F"/>
    <w:rsid w:val="00F502A3"/>
    <w:rsid w:val="00F509C0"/>
    <w:rsid w:val="00F55772"/>
    <w:rsid w:val="00F6673C"/>
    <w:rsid w:val="00F7614C"/>
    <w:rsid w:val="00F84D81"/>
    <w:rsid w:val="00F9121E"/>
    <w:rsid w:val="00F9646A"/>
    <w:rsid w:val="00FB56D1"/>
    <w:rsid w:val="00FB7F60"/>
    <w:rsid w:val="00FD7ED5"/>
    <w:rsid w:val="00FE42AA"/>
    <w:rsid w:val="00FF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B4418-4782-46AA-B857-68DEAE93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paragraph" w:styleId="Heading1">
    <w:name w:val="heading 1"/>
    <w:basedOn w:val="Normal"/>
    <w:next w:val="Normal"/>
    <w:link w:val="Heading1Char"/>
    <w:uiPriority w:val="9"/>
    <w:qFormat/>
    <w:locked/>
    <w:rsid w:val="000A34A1"/>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locked/>
    <w:rsid w:val="000A34A1"/>
    <w:pPr>
      <w:keepLines/>
      <w:tabs>
        <w:tab w:val="left" w:pos="1134"/>
        <w:tab w:val="left" w:pos="1871"/>
        <w:tab w:val="left" w:pos="2268"/>
      </w:tabs>
      <w:overflowPunct w:val="0"/>
      <w:autoSpaceDE w:val="0"/>
      <w:autoSpaceDN w:val="0"/>
      <w:adjustRightInd w:val="0"/>
      <w:spacing w:before="200" w:beforeAutospacing="0" w:after="0" w:afterAutospacing="0"/>
      <w:ind w:left="1134" w:hanging="1134"/>
      <w:textAlignment w:val="baseline"/>
      <w:outlineLvl w:val="1"/>
    </w:pPr>
    <w:rPr>
      <w:rFonts w:ascii="Times New Roman" w:hAnsi="Times New Roman"/>
      <w:bCs w:val="0"/>
      <w:kern w:val="0"/>
      <w:sz w:val="24"/>
      <w:szCs w:val="20"/>
      <w:lang w:val="en-GB"/>
    </w:rPr>
  </w:style>
  <w:style w:type="paragraph" w:styleId="Heading3">
    <w:name w:val="heading 3"/>
    <w:basedOn w:val="Normal"/>
    <w:next w:val="Normal"/>
    <w:link w:val="Heading3Char"/>
    <w:unhideWhenUsed/>
    <w:qFormat/>
    <w:locked/>
    <w:rsid w:val="000A34A1"/>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9"/>
    <w:qFormat/>
    <w:locked/>
    <w:rsid w:val="000C19F0"/>
    <w:pPr>
      <w:spacing w:before="240" w:beforeAutospacing="0" w:after="60" w:afterAutospacing="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0858D5"/>
    <w:rPr>
      <w:rFonts w:ascii="Calibri" w:hAnsi="Calibri" w:cs="Calibri"/>
      <w:b/>
      <w:bCs/>
    </w:rPr>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character" w:styleId="FootnoteReference">
    <w:name w:val="footnote reference"/>
    <w:aliases w:val="Appel note de bas de p,Footnote Reference/"/>
    <w:rsid w:val="000C19F0"/>
    <w:rPr>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Char1,fn,ft"/>
    <w:basedOn w:val="Normal"/>
    <w:link w:val="FootnoteTextChar"/>
    <w:uiPriority w:val="99"/>
    <w:rsid w:val="000C19F0"/>
    <w:pPr>
      <w:keepLines/>
      <w:tabs>
        <w:tab w:val="left" w:pos="255"/>
        <w:tab w:val="left" w:pos="1134"/>
        <w:tab w:val="left" w:pos="1871"/>
        <w:tab w:val="left" w:pos="2268"/>
      </w:tabs>
      <w:overflowPunct w:val="0"/>
      <w:autoSpaceDE w:val="0"/>
      <w:autoSpaceDN w:val="0"/>
      <w:adjustRightInd w:val="0"/>
      <w:spacing w:before="120" w:beforeAutospacing="0" w:after="0" w:afterAutospacing="0"/>
      <w:textAlignment w:val="baseline"/>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Char1 Char"/>
    <w:link w:val="FootnoteText"/>
    <w:uiPriority w:val="99"/>
    <w:locked/>
    <w:rsid w:val="000C19F0"/>
    <w:rPr>
      <w:sz w:val="24"/>
      <w:szCs w:val="24"/>
      <w:lang w:val="en-GB" w:eastAsia="en-US"/>
    </w:rPr>
  </w:style>
  <w:style w:type="paragraph" w:customStyle="1" w:styleId="CharChar27">
    <w:name w:val="Char Char27"/>
    <w:basedOn w:val="Normal"/>
    <w:uiPriority w:val="99"/>
    <w:rsid w:val="000C19F0"/>
    <w:pPr>
      <w:spacing w:before="0" w:beforeAutospacing="0" w:after="0" w:afterAutospacing="0"/>
    </w:pPr>
    <w:rPr>
      <w:lang w:val="pl-PL" w:eastAsia="pl-PL"/>
    </w:rPr>
  </w:style>
  <w:style w:type="paragraph" w:customStyle="1" w:styleId="CrossTitle12">
    <w:name w:val="***Cross_Title_12"/>
    <w:basedOn w:val="Normal"/>
    <w:uiPriority w:val="99"/>
    <w:rsid w:val="000C19F0"/>
    <w:pPr>
      <w:spacing w:before="0" w:beforeAutospacing="0" w:after="0" w:afterAutospacing="0"/>
      <w:jc w:val="center"/>
    </w:pPr>
    <w:rPr>
      <w:rFonts w:ascii="Arial" w:eastAsia="SimSun" w:hAnsi="Arial" w:cs="Arial"/>
      <w:b/>
      <w:bCs/>
      <w:caps/>
      <w:lang w:val="fr-CH" w:eastAsia="zh-CN"/>
    </w:rPr>
  </w:style>
  <w:style w:type="paragraph" w:customStyle="1" w:styleId="Standard">
    <w:name w:val="Standard"/>
    <w:uiPriority w:val="99"/>
    <w:rsid w:val="000C19F0"/>
    <w:pPr>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2C7142"/>
    <w:rPr>
      <w:rFonts w:eastAsia="Times New Roman"/>
    </w:rPr>
  </w:style>
  <w:style w:type="table" w:styleId="TableGrid">
    <w:name w:val="Table Grid"/>
    <w:basedOn w:val="TableNormal"/>
    <w:locked/>
    <w:rsid w:val="00F8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rsid w:val="00CD00D2"/>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character" w:customStyle="1" w:styleId="Heading1Char">
    <w:name w:val="Heading 1 Char"/>
    <w:link w:val="Heading1"/>
    <w:uiPriority w:val="9"/>
    <w:rsid w:val="000A34A1"/>
    <w:rPr>
      <w:rFonts w:ascii="Cambria" w:eastAsia="Times New Roman" w:hAnsi="Cambria" w:cs="Times New Roman"/>
      <w:b/>
      <w:bCs/>
      <w:kern w:val="32"/>
      <w:sz w:val="32"/>
      <w:szCs w:val="32"/>
    </w:rPr>
  </w:style>
  <w:style w:type="character" w:customStyle="1" w:styleId="Heading3Char">
    <w:name w:val="Heading 3 Char"/>
    <w:link w:val="Heading3"/>
    <w:rsid w:val="000A34A1"/>
    <w:rPr>
      <w:rFonts w:ascii="Cambria" w:eastAsia="Times New Roman" w:hAnsi="Cambria" w:cs="Times New Roman"/>
      <w:b/>
      <w:bCs/>
      <w:sz w:val="26"/>
      <w:szCs w:val="26"/>
    </w:rPr>
  </w:style>
  <w:style w:type="character" w:customStyle="1" w:styleId="Heading2Char">
    <w:name w:val="Heading 2 Char"/>
    <w:link w:val="Heading2"/>
    <w:rsid w:val="000A34A1"/>
    <w:rPr>
      <w:rFonts w:ascii="Times New Roman" w:eastAsia="Times New Roman" w:hAnsi="Times New Roman"/>
      <w:b/>
      <w:sz w:val="24"/>
      <w:lang w:val="en-GB"/>
    </w:rPr>
  </w:style>
  <w:style w:type="paragraph" w:customStyle="1" w:styleId="Default">
    <w:name w:val="Default"/>
    <w:rsid w:val="000A34A1"/>
    <w:pPr>
      <w:autoSpaceDE w:val="0"/>
      <w:autoSpaceDN w:val="0"/>
      <w:adjustRightInd w:val="0"/>
    </w:pPr>
    <w:rPr>
      <w:rFonts w:ascii="Times New Roman" w:hAnsi="Times New Roman"/>
      <w:color w:val="000000"/>
      <w:sz w:val="24"/>
      <w:szCs w:val="24"/>
    </w:rPr>
  </w:style>
  <w:style w:type="paragraph" w:customStyle="1" w:styleId="AppendixNo">
    <w:name w:val="Appendix_No"/>
    <w:basedOn w:val="Normal"/>
    <w:next w:val="Normal"/>
    <w:rsid w:val="000A34A1"/>
    <w:pPr>
      <w:keepNext/>
      <w:keepLines/>
      <w:tabs>
        <w:tab w:val="left" w:pos="1134"/>
        <w:tab w:val="left" w:pos="1871"/>
        <w:tab w:val="left" w:pos="2268"/>
      </w:tabs>
      <w:overflowPunct w:val="0"/>
      <w:autoSpaceDE w:val="0"/>
      <w:autoSpaceDN w:val="0"/>
      <w:adjustRightInd w:val="0"/>
      <w:spacing w:before="480" w:beforeAutospacing="0" w:after="80" w:afterAutospacing="0"/>
      <w:jc w:val="center"/>
      <w:textAlignment w:val="baseline"/>
    </w:pPr>
    <w:rPr>
      <w:rFonts w:eastAsia="Times New Roman"/>
      <w:caps/>
      <w:sz w:val="28"/>
      <w:szCs w:val="20"/>
      <w:lang w:val="en-GB"/>
    </w:rPr>
  </w:style>
  <w:style w:type="paragraph" w:customStyle="1" w:styleId="Headingb">
    <w:name w:val="Heading_b"/>
    <w:basedOn w:val="Normal"/>
    <w:next w:val="Normal"/>
    <w:link w:val="HeadingbChar"/>
    <w:rsid w:val="000A34A1"/>
    <w:pPr>
      <w:keepNext/>
      <w:tabs>
        <w:tab w:val="left" w:pos="1134"/>
        <w:tab w:val="left" w:pos="1871"/>
        <w:tab w:val="left" w:pos="2268"/>
      </w:tabs>
      <w:overflowPunct w:val="0"/>
      <w:autoSpaceDE w:val="0"/>
      <w:autoSpaceDN w:val="0"/>
      <w:adjustRightInd w:val="0"/>
      <w:spacing w:before="160" w:beforeAutospacing="0" w:after="0" w:afterAutospacing="0"/>
      <w:textAlignment w:val="baseline"/>
    </w:pPr>
    <w:rPr>
      <w:rFonts w:ascii="Times" w:eastAsia="Times New Roman" w:hAnsi="Times"/>
      <w:b/>
      <w:szCs w:val="20"/>
      <w:lang w:val="en-GB"/>
    </w:rPr>
  </w:style>
  <w:style w:type="character" w:customStyle="1" w:styleId="HeadingbChar">
    <w:name w:val="Heading_b Char"/>
    <w:link w:val="Headingb"/>
    <w:locked/>
    <w:rsid w:val="000A34A1"/>
    <w:rPr>
      <w:rFonts w:ascii="Times" w:eastAsia="Times New Roman" w:hAnsi="Times"/>
      <w:b/>
      <w:sz w:val="24"/>
      <w:lang w:val="en-GB"/>
    </w:rPr>
  </w:style>
  <w:style w:type="paragraph" w:styleId="PlainText">
    <w:name w:val="Plain Text"/>
    <w:basedOn w:val="Normal"/>
    <w:link w:val="PlainTextChar"/>
    <w:unhideWhenUsed/>
    <w:rsid w:val="000A34A1"/>
    <w:pPr>
      <w:spacing w:before="0" w:beforeAutospacing="0" w:after="0" w:afterAutospacing="0"/>
    </w:pPr>
    <w:rPr>
      <w:rFonts w:ascii="Calibri" w:eastAsia="SimSun" w:hAnsi="Calibri"/>
      <w:sz w:val="22"/>
      <w:szCs w:val="21"/>
      <w:lang w:val="en-GB"/>
    </w:rPr>
  </w:style>
  <w:style w:type="character" w:customStyle="1" w:styleId="PlainTextChar">
    <w:name w:val="Plain Text Char"/>
    <w:link w:val="PlainText"/>
    <w:rsid w:val="000A34A1"/>
    <w:rPr>
      <w:rFonts w:eastAsia="SimSun"/>
      <w:sz w:val="22"/>
      <w:szCs w:val="21"/>
      <w:lang w:val="en-GB"/>
    </w:rPr>
  </w:style>
  <w:style w:type="paragraph" w:customStyle="1" w:styleId="Texte">
    <w:name w:val="Texte"/>
    <w:basedOn w:val="Normal"/>
    <w:rsid w:val="000A34A1"/>
    <w:pPr>
      <w:spacing w:before="120" w:beforeAutospacing="0" w:after="0" w:afterAutospacing="0"/>
      <w:jc w:val="both"/>
    </w:pPr>
    <w:rPr>
      <w:rFonts w:ascii="Arial" w:eastAsia="Times New Roman" w:hAnsi="Arial"/>
      <w:sz w:val="22"/>
      <w:lang w:val="en-GB" w:eastAsia="fr-FR"/>
    </w:rPr>
  </w:style>
  <w:style w:type="paragraph" w:styleId="HTMLPreformatted">
    <w:name w:val="HTML Preformatted"/>
    <w:basedOn w:val="Normal"/>
    <w:link w:val="HTMLPreformattedChar"/>
    <w:rsid w:val="000A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sz w:val="20"/>
      <w:szCs w:val="20"/>
      <w:lang w:val="fr-FR" w:eastAsia="fr-FR"/>
    </w:rPr>
  </w:style>
  <w:style w:type="character" w:customStyle="1" w:styleId="HTMLPreformattedChar">
    <w:name w:val="HTML Preformatted Char"/>
    <w:link w:val="HTMLPreformatted"/>
    <w:rsid w:val="000A34A1"/>
    <w:rPr>
      <w:rFonts w:ascii="Courier New" w:eastAsia="Times New Roman" w:hAnsi="Courier New"/>
      <w:lang w:val="fr-FR" w:eastAsia="fr-FR"/>
    </w:rPr>
  </w:style>
  <w:style w:type="paragraph" w:customStyle="1" w:styleId="Alinea">
    <w:name w:val="Alinea"/>
    <w:basedOn w:val="Texte"/>
    <w:rsid w:val="000A34A1"/>
    <w:pPr>
      <w:widowControl w:val="0"/>
      <w:suppressAutoHyphens/>
      <w:ind w:left="2700" w:hanging="2340"/>
    </w:pPr>
  </w:style>
  <w:style w:type="paragraph" w:styleId="Title">
    <w:name w:val="Title"/>
    <w:basedOn w:val="Normal"/>
    <w:next w:val="Normal"/>
    <w:link w:val="TitleChar"/>
    <w:qFormat/>
    <w:locked/>
    <w:rsid w:val="000A34A1"/>
    <w:pPr>
      <w:pBdr>
        <w:bottom w:val="single" w:sz="8" w:space="4" w:color="4F81BD"/>
      </w:pBdr>
      <w:spacing w:before="0" w:after="300"/>
      <w:contextualSpacing/>
    </w:pPr>
    <w:rPr>
      <w:rFonts w:ascii="Cambria" w:eastAsia="SimSun" w:hAnsi="Cambria"/>
      <w:color w:val="17365D"/>
      <w:spacing w:val="5"/>
      <w:kern w:val="28"/>
      <w:sz w:val="52"/>
      <w:szCs w:val="52"/>
    </w:rPr>
  </w:style>
  <w:style w:type="character" w:customStyle="1" w:styleId="TitleChar">
    <w:name w:val="Title Char"/>
    <w:link w:val="Title"/>
    <w:rsid w:val="000A34A1"/>
    <w:rPr>
      <w:rFonts w:ascii="Cambria" w:eastAsia="SimSun" w:hAnsi="Cambria"/>
      <w:color w:val="17365D"/>
      <w:spacing w:val="5"/>
      <w:kern w:val="28"/>
      <w:sz w:val="52"/>
      <w:szCs w:val="52"/>
    </w:rPr>
  </w:style>
  <w:style w:type="paragraph" w:styleId="BalloonText">
    <w:name w:val="Balloon Text"/>
    <w:basedOn w:val="Normal"/>
    <w:link w:val="BalloonTextChar"/>
    <w:uiPriority w:val="99"/>
    <w:semiHidden/>
    <w:unhideWhenUsed/>
    <w:rsid w:val="000A34A1"/>
    <w:pPr>
      <w:spacing w:before="0" w:after="0"/>
    </w:pPr>
    <w:rPr>
      <w:rFonts w:ascii="Tahoma" w:hAnsi="Tahoma" w:cs="Tahoma"/>
      <w:sz w:val="16"/>
      <w:szCs w:val="16"/>
    </w:rPr>
  </w:style>
  <w:style w:type="character" w:customStyle="1" w:styleId="BalloonTextChar">
    <w:name w:val="Balloon Text Char"/>
    <w:link w:val="BalloonText"/>
    <w:uiPriority w:val="99"/>
    <w:semiHidden/>
    <w:rsid w:val="000A34A1"/>
    <w:rPr>
      <w:rFonts w:ascii="Tahoma" w:hAnsi="Tahoma" w:cs="Tahoma"/>
      <w:sz w:val="16"/>
      <w:szCs w:val="16"/>
    </w:rPr>
  </w:style>
  <w:style w:type="character" w:styleId="CommentReference">
    <w:name w:val="annotation reference"/>
    <w:uiPriority w:val="99"/>
    <w:semiHidden/>
    <w:unhideWhenUsed/>
    <w:rsid w:val="000A34A1"/>
    <w:rPr>
      <w:sz w:val="16"/>
      <w:szCs w:val="16"/>
    </w:rPr>
  </w:style>
  <w:style w:type="paragraph" w:styleId="CommentText">
    <w:name w:val="annotation text"/>
    <w:basedOn w:val="Normal"/>
    <w:link w:val="CommentTextChar"/>
    <w:uiPriority w:val="99"/>
    <w:semiHidden/>
    <w:unhideWhenUsed/>
    <w:rsid w:val="000A34A1"/>
    <w:rPr>
      <w:sz w:val="20"/>
      <w:szCs w:val="20"/>
    </w:rPr>
  </w:style>
  <w:style w:type="character" w:customStyle="1" w:styleId="CommentTextChar">
    <w:name w:val="Comment Text Char"/>
    <w:link w:val="CommentText"/>
    <w:uiPriority w:val="99"/>
    <w:semiHidden/>
    <w:rsid w:val="000A34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A34A1"/>
    <w:rPr>
      <w:b/>
      <w:bCs/>
    </w:rPr>
  </w:style>
  <w:style w:type="character" w:customStyle="1" w:styleId="CommentSubjectChar">
    <w:name w:val="Comment Subject Char"/>
    <w:link w:val="CommentSubject"/>
    <w:uiPriority w:val="99"/>
    <w:semiHidden/>
    <w:rsid w:val="000A34A1"/>
    <w:rPr>
      <w:rFonts w:ascii="Times New Roman" w:hAnsi="Times New Roman"/>
      <w:b/>
      <w:bCs/>
    </w:rPr>
  </w:style>
  <w:style w:type="paragraph" w:styleId="Revision">
    <w:name w:val="Revision"/>
    <w:hidden/>
    <w:uiPriority w:val="99"/>
    <w:semiHidden/>
    <w:rsid w:val="000A34A1"/>
    <w:rPr>
      <w:rFonts w:ascii="Times New Roman" w:hAnsi="Times New Roman"/>
      <w:sz w:val="24"/>
      <w:szCs w:val="24"/>
    </w:rPr>
  </w:style>
  <w:style w:type="paragraph" w:customStyle="1" w:styleId="ECCParBulleted">
    <w:name w:val="ECC Par Bulleted"/>
    <w:basedOn w:val="Normal"/>
    <w:rsid w:val="000A34A1"/>
    <w:pPr>
      <w:numPr>
        <w:numId w:val="9"/>
      </w:numPr>
      <w:spacing w:before="0" w:beforeAutospacing="0" w:after="0" w:afterAutospacing="0"/>
      <w:jc w:val="both"/>
    </w:pPr>
    <w:rPr>
      <w:rFonts w:ascii="Arial" w:eastAsia="Times New Roman" w:hAnsi="Arial"/>
      <w:sz w:val="20"/>
      <w:lang w:val="en-GB"/>
    </w:rPr>
  </w:style>
  <w:style w:type="paragraph" w:styleId="NormalIndent">
    <w:name w:val="Normal Indent"/>
    <w:basedOn w:val="Normal"/>
    <w:rsid w:val="00F502A3"/>
    <w:pPr>
      <w:tabs>
        <w:tab w:val="left" w:pos="1134"/>
        <w:tab w:val="left" w:pos="1871"/>
        <w:tab w:val="left" w:pos="2268"/>
      </w:tabs>
      <w:overflowPunct w:val="0"/>
      <w:autoSpaceDE w:val="0"/>
      <w:autoSpaceDN w:val="0"/>
      <w:adjustRightInd w:val="0"/>
      <w:spacing w:before="120" w:beforeAutospacing="0" w:after="0" w:afterAutospacing="0"/>
      <w:ind w:left="1134"/>
      <w:textAlignment w:val="baseline"/>
    </w:pPr>
    <w:rPr>
      <w:rFonts w:eastAsia="Times New Roman"/>
      <w:szCs w:val="20"/>
      <w:lang w:val="en-GB"/>
    </w:rPr>
  </w:style>
  <w:style w:type="character" w:customStyle="1" w:styleId="hps">
    <w:name w:val="hps"/>
    <w:basedOn w:val="DefaultParagraphFont"/>
    <w:rsid w:val="00E71801"/>
  </w:style>
  <w:style w:type="character" w:customStyle="1" w:styleId="atn">
    <w:name w:val="atn"/>
    <w:basedOn w:val="DefaultParagraphFont"/>
    <w:rsid w:val="00E71801"/>
  </w:style>
  <w:style w:type="paragraph" w:customStyle="1" w:styleId="Tabletext">
    <w:name w:val="Table_text"/>
    <w:basedOn w:val="Normal"/>
    <w:uiPriority w:val="99"/>
    <w:rsid w:val="008C227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beforeAutospacing="0" w:after="40" w:afterAutospacing="0"/>
      <w:textAlignment w:val="baseline"/>
    </w:pPr>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393">
      <w:bodyDiv w:val="1"/>
      <w:marLeft w:val="0"/>
      <w:marRight w:val="0"/>
      <w:marTop w:val="0"/>
      <w:marBottom w:val="0"/>
      <w:divBdr>
        <w:top w:val="none" w:sz="0" w:space="0" w:color="auto"/>
        <w:left w:val="none" w:sz="0" w:space="0" w:color="auto"/>
        <w:bottom w:val="none" w:sz="0" w:space="0" w:color="auto"/>
        <w:right w:val="none" w:sz="0" w:space="0" w:color="auto"/>
      </w:divBdr>
    </w:div>
    <w:div w:id="113137126">
      <w:bodyDiv w:val="1"/>
      <w:marLeft w:val="0"/>
      <w:marRight w:val="0"/>
      <w:marTop w:val="0"/>
      <w:marBottom w:val="0"/>
      <w:divBdr>
        <w:top w:val="none" w:sz="0" w:space="0" w:color="auto"/>
        <w:left w:val="none" w:sz="0" w:space="0" w:color="auto"/>
        <w:bottom w:val="none" w:sz="0" w:space="0" w:color="auto"/>
        <w:right w:val="none" w:sz="0" w:space="0" w:color="auto"/>
      </w:divBdr>
    </w:div>
    <w:div w:id="273367469">
      <w:bodyDiv w:val="1"/>
      <w:marLeft w:val="0"/>
      <w:marRight w:val="0"/>
      <w:marTop w:val="0"/>
      <w:marBottom w:val="0"/>
      <w:divBdr>
        <w:top w:val="none" w:sz="0" w:space="0" w:color="auto"/>
        <w:left w:val="none" w:sz="0" w:space="0" w:color="auto"/>
        <w:bottom w:val="none" w:sz="0" w:space="0" w:color="auto"/>
        <w:right w:val="none" w:sz="0" w:space="0" w:color="auto"/>
      </w:divBdr>
    </w:div>
    <w:div w:id="626158378">
      <w:bodyDiv w:val="1"/>
      <w:marLeft w:val="0"/>
      <w:marRight w:val="0"/>
      <w:marTop w:val="0"/>
      <w:marBottom w:val="0"/>
      <w:divBdr>
        <w:top w:val="none" w:sz="0" w:space="0" w:color="auto"/>
        <w:left w:val="none" w:sz="0" w:space="0" w:color="auto"/>
        <w:bottom w:val="none" w:sz="0" w:space="0" w:color="auto"/>
        <w:right w:val="none" w:sz="0" w:space="0" w:color="auto"/>
      </w:divBdr>
    </w:div>
    <w:div w:id="703209941">
      <w:bodyDiv w:val="1"/>
      <w:marLeft w:val="0"/>
      <w:marRight w:val="0"/>
      <w:marTop w:val="0"/>
      <w:marBottom w:val="0"/>
      <w:divBdr>
        <w:top w:val="none" w:sz="0" w:space="0" w:color="auto"/>
        <w:left w:val="none" w:sz="0" w:space="0" w:color="auto"/>
        <w:bottom w:val="none" w:sz="0" w:space="0" w:color="auto"/>
        <w:right w:val="none" w:sz="0" w:space="0" w:color="auto"/>
      </w:divBdr>
    </w:div>
    <w:div w:id="1167746434">
      <w:bodyDiv w:val="1"/>
      <w:marLeft w:val="0"/>
      <w:marRight w:val="0"/>
      <w:marTop w:val="0"/>
      <w:marBottom w:val="0"/>
      <w:divBdr>
        <w:top w:val="none" w:sz="0" w:space="0" w:color="auto"/>
        <w:left w:val="none" w:sz="0" w:space="0" w:color="auto"/>
        <w:bottom w:val="none" w:sz="0" w:space="0" w:color="auto"/>
        <w:right w:val="none" w:sz="0" w:space="0" w:color="auto"/>
      </w:divBdr>
    </w:div>
    <w:div w:id="1503935917">
      <w:bodyDiv w:val="1"/>
      <w:marLeft w:val="0"/>
      <w:marRight w:val="0"/>
      <w:marTop w:val="0"/>
      <w:marBottom w:val="0"/>
      <w:divBdr>
        <w:top w:val="none" w:sz="0" w:space="0" w:color="auto"/>
        <w:left w:val="none" w:sz="0" w:space="0" w:color="auto"/>
        <w:bottom w:val="none" w:sz="0" w:space="0" w:color="auto"/>
        <w:right w:val="none" w:sz="0" w:space="0" w:color="auto"/>
      </w:divBdr>
    </w:div>
    <w:div w:id="1585185815">
      <w:bodyDiv w:val="1"/>
      <w:marLeft w:val="0"/>
      <w:marRight w:val="0"/>
      <w:marTop w:val="0"/>
      <w:marBottom w:val="0"/>
      <w:divBdr>
        <w:top w:val="none" w:sz="0" w:space="0" w:color="auto"/>
        <w:left w:val="none" w:sz="0" w:space="0" w:color="auto"/>
        <w:bottom w:val="none" w:sz="0" w:space="0" w:color="auto"/>
        <w:right w:val="none" w:sz="0" w:space="0" w:color="auto"/>
      </w:divBdr>
    </w:div>
    <w:div w:id="1718699363">
      <w:bodyDiv w:val="1"/>
      <w:marLeft w:val="0"/>
      <w:marRight w:val="0"/>
      <w:marTop w:val="0"/>
      <w:marBottom w:val="0"/>
      <w:divBdr>
        <w:top w:val="none" w:sz="0" w:space="0" w:color="auto"/>
        <w:left w:val="none" w:sz="0" w:space="0" w:color="auto"/>
        <w:bottom w:val="none" w:sz="0" w:space="0" w:color="auto"/>
        <w:right w:val="none" w:sz="0" w:space="0" w:color="auto"/>
      </w:divBdr>
    </w:div>
    <w:div w:id="1861432710">
      <w:bodyDiv w:val="1"/>
      <w:marLeft w:val="0"/>
      <w:marRight w:val="0"/>
      <w:marTop w:val="0"/>
      <w:marBottom w:val="0"/>
      <w:divBdr>
        <w:top w:val="none" w:sz="0" w:space="0" w:color="auto"/>
        <w:left w:val="none" w:sz="0" w:space="0" w:color="auto"/>
        <w:bottom w:val="none" w:sz="0" w:space="0" w:color="auto"/>
        <w:right w:val="none" w:sz="0" w:space="0" w:color="auto"/>
      </w:divBdr>
    </w:div>
    <w:div w:id="1920944669">
      <w:bodyDiv w:val="1"/>
      <w:marLeft w:val="0"/>
      <w:marRight w:val="0"/>
      <w:marTop w:val="0"/>
      <w:marBottom w:val="0"/>
      <w:divBdr>
        <w:top w:val="none" w:sz="0" w:space="0" w:color="auto"/>
        <w:left w:val="none" w:sz="0" w:space="0" w:color="auto"/>
        <w:bottom w:val="none" w:sz="0" w:space="0" w:color="auto"/>
        <w:right w:val="none" w:sz="0" w:space="0" w:color="auto"/>
      </w:divBdr>
    </w:div>
    <w:div w:id="1942685886">
      <w:bodyDiv w:val="1"/>
      <w:marLeft w:val="0"/>
      <w:marRight w:val="0"/>
      <w:marTop w:val="0"/>
      <w:marBottom w:val="0"/>
      <w:divBdr>
        <w:top w:val="none" w:sz="0" w:space="0" w:color="auto"/>
        <w:left w:val="none" w:sz="0" w:space="0" w:color="auto"/>
        <w:bottom w:val="none" w:sz="0" w:space="0" w:color="auto"/>
        <w:right w:val="none" w:sz="0" w:space="0" w:color="auto"/>
      </w:divBdr>
    </w:div>
    <w:div w:id="2010522649">
      <w:bodyDiv w:val="1"/>
      <w:marLeft w:val="0"/>
      <w:marRight w:val="0"/>
      <w:marTop w:val="0"/>
      <w:marBottom w:val="0"/>
      <w:divBdr>
        <w:top w:val="none" w:sz="0" w:space="0" w:color="auto"/>
        <w:left w:val="none" w:sz="0" w:space="0" w:color="auto"/>
        <w:bottom w:val="none" w:sz="0" w:space="0" w:color="auto"/>
        <w:right w:val="none" w:sz="0" w:space="0" w:color="auto"/>
      </w:divBdr>
    </w:div>
    <w:div w:id="21444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AA7B3-46AB-4B3F-8AF9-A89C7B513CFC}">
  <ds:schemaRefs>
    <ds:schemaRef ds:uri="http://schemas.openxmlformats.org/officeDocument/2006/bibliography"/>
  </ds:schemaRefs>
</ds:datastoreItem>
</file>

<file path=customXml/itemProps2.xml><?xml version="1.0" encoding="utf-8"?>
<ds:datastoreItem xmlns:ds="http://schemas.openxmlformats.org/officeDocument/2006/customXml" ds:itemID="{454F7146-0712-4006-98AA-6729C569E090}"/>
</file>

<file path=customXml/itemProps3.xml><?xml version="1.0" encoding="utf-8"?>
<ds:datastoreItem xmlns:ds="http://schemas.openxmlformats.org/officeDocument/2006/customXml" ds:itemID="{CA1963E5-4A5E-4371-909F-F71621508A1B}"/>
</file>

<file path=customXml/itemProps4.xml><?xml version="1.0" encoding="utf-8"?>
<ds:datastoreItem xmlns:ds="http://schemas.openxmlformats.org/officeDocument/2006/customXml" ds:itemID="{04427894-0D0E-4CC0-AE20-52959CD9C838}"/>
</file>

<file path=docProps/app.xml><?xml version="1.0" encoding="utf-8"?>
<Properties xmlns="http://schemas.openxmlformats.org/officeDocument/2006/extended-properties" xmlns:vt="http://schemas.openxmlformats.org/officeDocument/2006/docPropsVTypes">
  <Template>Normal.dotm</Template>
  <TotalTime>1</TotalTime>
  <Pages>6</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SG-RFC 2011 Meeting (Oct 2011, Geneva)</vt:lpstr>
    </vt:vector>
  </TitlesOfParts>
  <Company>WMO</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 2011 Meeting (Oct 2011, Geneva)</dc:title>
  <dc:subject>Draft Agenda</dc:subject>
  <dc:creator>D. Thomas, A. Vassiliev</dc:creator>
  <cp:lastModifiedBy>David Thomas</cp:lastModifiedBy>
  <cp:revision>3</cp:revision>
  <cp:lastPrinted>2011-09-09T13:04:00Z</cp:lastPrinted>
  <dcterms:created xsi:type="dcterms:W3CDTF">2015-09-20T06:39:00Z</dcterms:created>
  <dcterms:modified xsi:type="dcterms:W3CDTF">2015-09-20T06:40:00Z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