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288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.8pt;height:55.65pt" o:ole="">
                  <v:imagedata r:id="rId8" o:title=""/>
                </v:shape>
                <o:OLEObject Type="Embed" ProgID="PBrush" ShapeID="_x0000_i1025" DrawAspect="Content" ObjectID="_1503927434" r:id="rId9"/>
              </w:object>
            </w:r>
          </w:p>
        </w:tc>
      </w:tr>
      <w:tr w:rsidR="00701FDB" w:rsidRPr="00812884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>
        <w:trPr>
          <w:cantSplit/>
          <w:trHeight w:val="83"/>
        </w:trPr>
        <w:tc>
          <w:tcPr>
            <w:tcW w:w="6228" w:type="dxa"/>
            <w:gridSpan w:val="2"/>
            <w:vMerge w:val="restart"/>
          </w:tcPr>
          <w:p w:rsidR="00682FE9" w:rsidRPr="00872AB2" w:rsidRDefault="00872AB2" w:rsidP="00872AB2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872AB2" w:rsidRPr="0044117D" w:rsidRDefault="00AA360F" w:rsidP="00AA360F">
            <w:pPr>
              <w:shd w:val="solid" w:color="FFFFFF" w:fill="FFFFFF"/>
              <w:spacing w:after="24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Payerne</w:t>
            </w:r>
            <w:proofErr w:type="spellEnd"/>
            <w:r w:rsidR="006F650D">
              <w:rPr>
                <w:rFonts w:ascii="Verdana" w:hAnsi="Verdana" w:cs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Switzerland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22-25 September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201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5</w:t>
            </w:r>
            <w:r w:rsidR="00872AB2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  <w:gridSpan w:val="3"/>
          </w:tcPr>
          <w:p w:rsidR="00682FE9" w:rsidRPr="007A7EA5" w:rsidRDefault="00682FE9" w:rsidP="008539AA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AA360F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5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</w:t>
            </w:r>
            <w:r w:rsidR="008539AA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Doc22</w:t>
            </w:r>
          </w:p>
        </w:tc>
      </w:tr>
      <w:tr w:rsidR="00682FE9" w:rsidRPr="00812884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539AA" w:rsidRDefault="008539AA" w:rsidP="00AA360F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539AA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16 September</w:t>
            </w:r>
            <w:r w:rsidR="00682FE9" w:rsidRPr="008539AA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72AB2" w:rsidRPr="008539AA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201</w:t>
            </w:r>
            <w:r w:rsidR="00AA360F" w:rsidRPr="008539AA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8539AA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N</w:t>
            </w:r>
            <w:bookmarkStart w:id="3" w:name="_GoBack"/>
            <w:bookmarkEnd w:id="3"/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Default="00AA360F" w:rsidP="00B1454C">
            <w:pPr>
              <w:pStyle w:val="RepNo"/>
              <w:rPr>
                <w:lang w:val="en-US" w:eastAsia="zh-CN"/>
              </w:rPr>
            </w:pPr>
            <w:bookmarkStart w:id="5" w:name="drec" w:colFirst="0" w:colLast="0"/>
            <w:bookmarkEnd w:id="4"/>
            <w:r>
              <w:rPr>
                <w:lang w:val="en-US" w:eastAsia="zh-CN"/>
              </w:rPr>
              <w:t>David FRanc (USA)</w:t>
            </w:r>
          </w:p>
          <w:p w:rsidR="00CB063C" w:rsidRPr="00CB063C" w:rsidRDefault="00CB063C" w:rsidP="00CB063C">
            <w:pPr>
              <w:pStyle w:val="Reptitle"/>
              <w:spacing w:before="0"/>
              <w:rPr>
                <w:b w:val="0"/>
                <w:lang w:val="en-US" w:eastAsia="zh-CN"/>
              </w:rPr>
            </w:pPr>
            <w:r w:rsidRPr="00CB063C">
              <w:rPr>
                <w:b w:val="0"/>
                <w:lang w:val="en-US" w:eastAsia="zh-CN"/>
              </w:rPr>
              <w:t>CARMELO RIVERA (USA)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344376" w:rsidRDefault="003B2E2B" w:rsidP="00E32FDB">
            <w:pPr>
              <w:pStyle w:val="Reptitle"/>
              <w:rPr>
                <w:bCs w:val="0"/>
                <w:lang w:eastAsia="zh-CN"/>
              </w:rPr>
            </w:pPr>
            <w:bookmarkStart w:id="6" w:name="dtitle1" w:colFirst="0" w:colLast="0"/>
            <w:bookmarkEnd w:id="5"/>
            <w:r>
              <w:rPr>
                <w:bCs w:val="0"/>
              </w:rPr>
              <w:t xml:space="preserve">Report of </w:t>
            </w:r>
            <w:r w:rsidR="00AA360F">
              <w:rPr>
                <w:bCs w:val="0"/>
              </w:rPr>
              <w:t xml:space="preserve">CITEL WRC -15 </w:t>
            </w:r>
            <w:r w:rsidR="00E32FDB">
              <w:rPr>
                <w:bCs w:val="0"/>
              </w:rPr>
              <w:t>Preparation</w:t>
            </w:r>
          </w:p>
        </w:tc>
      </w:tr>
      <w:bookmarkEnd w:id="6"/>
    </w:tbl>
    <w:p w:rsidR="00B1454C" w:rsidRDefault="00B1454C" w:rsidP="00B1454C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p w:rsidR="00E32FDB" w:rsidRDefault="00B1454C" w:rsidP="00A530FD">
      <w:r>
        <w:rPr>
          <w:b/>
          <w:bCs/>
          <w:u w:val="single"/>
        </w:rPr>
        <w:t>Introduction</w:t>
      </w:r>
    </w:p>
    <w:p w:rsidR="00B1454C" w:rsidRDefault="00E32FDB" w:rsidP="00A530FD">
      <w:r>
        <w:t>The Commission for Inter-American Telecommunications (CITEL) held their last meeting prior to the upcoming WRC-15 in Ottawa, Canada from the 17</w:t>
      </w:r>
      <w:r w:rsidRPr="00E32FDB">
        <w:rPr>
          <w:vertAlign w:val="superscript"/>
        </w:rPr>
        <w:t>th</w:t>
      </w:r>
      <w:r>
        <w:t xml:space="preserve"> to the 21</w:t>
      </w:r>
      <w:r w:rsidRPr="00E32FDB">
        <w:rPr>
          <w:vertAlign w:val="superscript"/>
        </w:rPr>
        <w:t>st</w:t>
      </w:r>
      <w:r>
        <w:t xml:space="preserve"> of August 2015</w:t>
      </w:r>
      <w:r w:rsidR="00B1454C">
        <w:t>.</w:t>
      </w:r>
      <w:r>
        <w:t xml:space="preserve">  The WRC Working Group of CITEL worked on finalizing proposals to be submitted to the ITU during that week.  </w:t>
      </w:r>
      <w:r w:rsidR="00F91405">
        <w:t>According to CITEL procedure a minimum of 6 CITEL Member States must support a proposal in order for it to become an Inter-American Proposal (IAP) and make it eligible to be submitted as a regional WRC proposal.  This document highlights some IAPs that are of interest to WMO.</w:t>
      </w:r>
    </w:p>
    <w:p w:rsidR="00F91405" w:rsidRPr="00B82F98" w:rsidRDefault="00F91405" w:rsidP="00A530FD">
      <w:pPr>
        <w:rPr>
          <w:b/>
        </w:rPr>
      </w:pPr>
      <w:r w:rsidRPr="00B82F98">
        <w:rPr>
          <w:b/>
        </w:rPr>
        <w:t>Agenda Item 1.1: IMT/Terrestrial Mobile Broadband</w:t>
      </w:r>
    </w:p>
    <w:p w:rsidR="00F91405" w:rsidRDefault="00F91405" w:rsidP="00AA354C">
      <w:pPr>
        <w:ind w:left="720"/>
      </w:pPr>
      <w:r w:rsidRPr="00F91405">
        <w:rPr>
          <w:u w:val="single"/>
        </w:rPr>
        <w:t>NOC</w:t>
      </w:r>
      <w:r>
        <w:t xml:space="preserve"> IAPs on 410-450 MHz; 2025-2110 MHz; 2200-2290 MHz; 2700-2900 MHz; </w:t>
      </w:r>
      <w:r w:rsidR="007268E7">
        <w:t xml:space="preserve">and </w:t>
      </w:r>
      <w:r>
        <w:t>5350-5470 MHz</w:t>
      </w:r>
      <w:r w:rsidR="007268E7">
        <w:t xml:space="preserve"> bands</w:t>
      </w:r>
    </w:p>
    <w:p w:rsidR="00B82F98" w:rsidRDefault="00B82F98" w:rsidP="00A530FD">
      <w:pPr>
        <w:rPr>
          <w:b/>
        </w:rPr>
      </w:pPr>
      <w:r w:rsidRPr="00B82F98">
        <w:rPr>
          <w:b/>
        </w:rPr>
        <w:t>Agenda Item 1.6.1: FSS (E-s and s-E) 250 MHz in Region 1 in 10-17 GHz band</w:t>
      </w:r>
    </w:p>
    <w:p w:rsidR="00B82F98" w:rsidRDefault="00B82F98" w:rsidP="00AA354C">
      <w:pPr>
        <w:ind w:left="720"/>
      </w:pPr>
      <w:proofErr w:type="gramStart"/>
      <w:r>
        <w:rPr>
          <w:u w:val="single"/>
        </w:rPr>
        <w:t>NOC</w:t>
      </w:r>
      <w:r>
        <w:t xml:space="preserve">  IAPs</w:t>
      </w:r>
      <w:proofErr w:type="gramEnd"/>
      <w:r>
        <w:t xml:space="preserve"> to Article 5 for 13.25-13.4 GHz; 13.4-13.75 GHz; 14.5-15.4 GHz; and 15.4-17.1 GHz bands</w:t>
      </w:r>
    </w:p>
    <w:p w:rsidR="00B82F98" w:rsidRDefault="00B82F98" w:rsidP="00A530FD">
      <w:pPr>
        <w:rPr>
          <w:b/>
        </w:rPr>
      </w:pPr>
      <w:r w:rsidRPr="00B82F98">
        <w:rPr>
          <w:b/>
        </w:rPr>
        <w:t>Agenda Item 1.6.2: FSS (E-s) 250 MHz in Region 2 and 300 MHz in Region 3 in 13-17 GHz band</w:t>
      </w:r>
    </w:p>
    <w:p w:rsidR="00B82F98" w:rsidRDefault="00B82F98" w:rsidP="00AA354C">
      <w:pPr>
        <w:ind w:left="720"/>
      </w:pPr>
      <w:proofErr w:type="gramStart"/>
      <w:r>
        <w:rPr>
          <w:u w:val="single"/>
        </w:rPr>
        <w:t xml:space="preserve">NOC </w:t>
      </w:r>
      <w:r>
        <w:t xml:space="preserve"> IAPs</w:t>
      </w:r>
      <w:proofErr w:type="gramEnd"/>
      <w:r>
        <w:t xml:space="preserve"> to Article 5 for 13.25-13.4 GHz; 13.4-13.75 GHz; and 15.4-17.1 GHz bands</w:t>
      </w:r>
    </w:p>
    <w:p w:rsidR="00B82F98" w:rsidRDefault="00B82F98" w:rsidP="00A530FD">
      <w:r w:rsidRPr="00B82F98">
        <w:rPr>
          <w:b/>
        </w:rPr>
        <w:lastRenderedPageBreak/>
        <w:t>Agenda Item 1.9.1: FSS 7150-7250 MHz (s-E) and 8400-8500 MHz (E-s)</w:t>
      </w:r>
    </w:p>
    <w:p w:rsidR="007268E7" w:rsidRDefault="007268E7" w:rsidP="00AA354C">
      <w:pPr>
        <w:ind w:left="720"/>
      </w:pPr>
      <w:r>
        <w:rPr>
          <w:u w:val="single"/>
        </w:rPr>
        <w:t xml:space="preserve">NOC </w:t>
      </w:r>
      <w:r>
        <w:t>IAP to Article 5</w:t>
      </w:r>
    </w:p>
    <w:p w:rsidR="007268E7" w:rsidRDefault="007268E7" w:rsidP="00A530FD">
      <w:r>
        <w:rPr>
          <w:b/>
        </w:rPr>
        <w:t>Agenda Item 1.9.2: MMSS 7375-7750 MHz and 8025-8400 MHz</w:t>
      </w:r>
    </w:p>
    <w:p w:rsidR="007268E7" w:rsidRDefault="007268E7" w:rsidP="00AA354C">
      <w:pPr>
        <w:ind w:left="720"/>
      </w:pPr>
      <w:r>
        <w:rPr>
          <w:u w:val="single"/>
        </w:rPr>
        <w:t xml:space="preserve">NOC </w:t>
      </w:r>
      <w:r>
        <w:t>IAP to Article 5</w:t>
      </w:r>
    </w:p>
    <w:p w:rsidR="007268E7" w:rsidRDefault="007268E7" w:rsidP="00A530FD">
      <w:r>
        <w:rPr>
          <w:b/>
        </w:rPr>
        <w:t>Agenda Item 1.10: MSS, including the satellite component for broadband applications, including IMT 22 GHz to 26 GHz</w:t>
      </w:r>
    </w:p>
    <w:p w:rsidR="007268E7" w:rsidRDefault="007268E7" w:rsidP="00AA354C">
      <w:pPr>
        <w:ind w:left="720"/>
      </w:pPr>
      <w:r>
        <w:t>NOC to Article 5</w:t>
      </w:r>
    </w:p>
    <w:p w:rsidR="00AA354C" w:rsidRPr="00B82F98" w:rsidRDefault="00AA354C" w:rsidP="00AA354C">
      <w:pPr>
        <w:rPr>
          <w:b/>
        </w:rPr>
      </w:pPr>
      <w:r w:rsidRPr="00B82F98">
        <w:rPr>
          <w:b/>
        </w:rPr>
        <w:t>Agenda Item 1.11: EESS (E-s) 7-8 GHz</w:t>
      </w:r>
    </w:p>
    <w:p w:rsidR="00AA354C" w:rsidRDefault="00AA354C" w:rsidP="00AA354C">
      <w:pPr>
        <w:ind w:left="720"/>
      </w:pPr>
      <w:proofErr w:type="gramStart"/>
      <w:r>
        <w:t>IAP to add a global primary allocation to EESS (Earth-to-Space) in the 7190-7250 MHz band.</w:t>
      </w:r>
      <w:proofErr w:type="gramEnd"/>
    </w:p>
    <w:p w:rsidR="00AA354C" w:rsidRPr="00B82F98" w:rsidRDefault="00AA354C" w:rsidP="00AA354C">
      <w:pPr>
        <w:rPr>
          <w:b/>
        </w:rPr>
      </w:pPr>
      <w:r w:rsidRPr="00B82F98">
        <w:rPr>
          <w:b/>
        </w:rPr>
        <w:t>Agenda Item 1.12: EESS (active) up to 600 MHz Extension Within 8700-9300 MHz and/or 9900-10500 MHz</w:t>
      </w:r>
    </w:p>
    <w:p w:rsidR="00AA354C" w:rsidRDefault="00AA354C" w:rsidP="00AA354C">
      <w:pPr>
        <w:ind w:left="720"/>
      </w:pPr>
      <w:r>
        <w:t>IAP supporting a new global primary EESS (active) allocation in the 9900-10500 MHz band</w:t>
      </w:r>
    </w:p>
    <w:p w:rsidR="00AA354C" w:rsidRPr="00B82F98" w:rsidRDefault="00AA354C" w:rsidP="00AA354C">
      <w:pPr>
        <w:rPr>
          <w:b/>
        </w:rPr>
      </w:pPr>
      <w:r w:rsidRPr="00B82F98">
        <w:rPr>
          <w:b/>
        </w:rPr>
        <w:t>Agenda Item 1.18: Radiolocation Service for Automotive Applications in 77.5-78.0 GHz</w:t>
      </w:r>
    </w:p>
    <w:p w:rsidR="00AA354C" w:rsidRDefault="00AA354C" w:rsidP="00AA354C">
      <w:pPr>
        <w:ind w:left="720"/>
      </w:pPr>
      <w:r>
        <w:t>IAP to support an allocation</w:t>
      </w:r>
    </w:p>
    <w:p w:rsidR="007268E7" w:rsidRDefault="007268E7" w:rsidP="00A530FD">
      <w:pPr>
        <w:rPr>
          <w:b/>
        </w:rPr>
      </w:pPr>
      <w:r>
        <w:rPr>
          <w:b/>
        </w:rPr>
        <w:t>Agenda Item 9.1 (Issue 9.1.1): Protection of the Systems Operating in the MSS 406 – 406.1 MHz Band</w:t>
      </w:r>
    </w:p>
    <w:p w:rsidR="007268E7" w:rsidRDefault="007268E7" w:rsidP="00AA354C">
      <w:pPr>
        <w:ind w:left="720"/>
      </w:pPr>
      <w:r>
        <w:t>IAP to modify Resolution 205 to strongly recommend that no new frequency assignments be made in the 406.1-406.2 MHz for new land mobile stations</w:t>
      </w:r>
      <w:r w:rsidR="002846AD">
        <w:t xml:space="preserve"> also measures to limit the levels of unwanted emissions in the 406-406.1 MHz band should be taken.</w:t>
      </w:r>
    </w:p>
    <w:p w:rsidR="002846AD" w:rsidRDefault="002846AD" w:rsidP="00A530FD">
      <w:r>
        <w:rPr>
          <w:b/>
        </w:rPr>
        <w:t xml:space="preserve">Agenda Item 9.1.7: Spectrum Management Guidelines for Emergency and Disaster Relief </w:t>
      </w:r>
      <w:proofErr w:type="spellStart"/>
      <w:r>
        <w:rPr>
          <w:b/>
        </w:rPr>
        <w:t>Radiocommunication</w:t>
      </w:r>
      <w:proofErr w:type="spellEnd"/>
    </w:p>
    <w:p w:rsidR="002846AD" w:rsidRDefault="002846AD" w:rsidP="002846AD">
      <w:pPr>
        <w:pStyle w:val="ListParagraph"/>
        <w:numPr>
          <w:ilvl w:val="0"/>
          <w:numId w:val="1"/>
        </w:numPr>
      </w:pPr>
      <w:r>
        <w:t>Modify Resolution 647 placing emphasis on need for administrations to provide POC for ITU database</w:t>
      </w:r>
    </w:p>
    <w:p w:rsidR="002846AD" w:rsidRDefault="002846AD" w:rsidP="002846AD">
      <w:pPr>
        <w:pStyle w:val="ListParagraph"/>
        <w:numPr>
          <w:ilvl w:val="0"/>
          <w:numId w:val="1"/>
        </w:numPr>
      </w:pPr>
      <w:r>
        <w:t>Incorporates necessary elements from Resolution 644 into Resolution 647</w:t>
      </w:r>
    </w:p>
    <w:p w:rsidR="002846AD" w:rsidRDefault="002846AD" w:rsidP="002846AD">
      <w:r>
        <w:rPr>
          <w:b/>
        </w:rPr>
        <w:t>Agenda Item 10: Agenda Items for Future Conferences</w:t>
      </w:r>
    </w:p>
    <w:p w:rsidR="002846AD" w:rsidRDefault="002846AD" w:rsidP="00AA354C">
      <w:pPr>
        <w:ind w:left="360"/>
      </w:pPr>
      <w:r>
        <w:t>IAPs for the following:</w:t>
      </w:r>
    </w:p>
    <w:p w:rsidR="002846AD" w:rsidRDefault="002846AD" w:rsidP="002846AD">
      <w:pPr>
        <w:pStyle w:val="ListParagraph"/>
        <w:numPr>
          <w:ilvl w:val="0"/>
          <w:numId w:val="1"/>
        </w:numPr>
      </w:pPr>
      <w:r>
        <w:t>Primary Allocation to the Meteorological Satellite Service in the 460-470 MHz band</w:t>
      </w:r>
    </w:p>
    <w:p w:rsidR="002846AD" w:rsidRDefault="002846AD" w:rsidP="002846AD">
      <w:pPr>
        <w:pStyle w:val="ListParagraph"/>
        <w:numPr>
          <w:ilvl w:val="0"/>
          <w:numId w:val="1"/>
        </w:numPr>
      </w:pPr>
      <w:r>
        <w:t>RLAN in the 5350-5470 MHz band</w:t>
      </w:r>
    </w:p>
    <w:p w:rsidR="002846AD" w:rsidRDefault="002846AD" w:rsidP="002846AD">
      <w:pPr>
        <w:pStyle w:val="ListParagraph"/>
        <w:numPr>
          <w:ilvl w:val="0"/>
          <w:numId w:val="1"/>
        </w:numPr>
      </w:pPr>
      <w:r>
        <w:t>Allocation of EESS in 40-50 MHz band (2023)</w:t>
      </w:r>
    </w:p>
    <w:p w:rsidR="002846AD" w:rsidRDefault="002846AD" w:rsidP="002846AD">
      <w:pPr>
        <w:pStyle w:val="ListParagraph"/>
        <w:numPr>
          <w:ilvl w:val="0"/>
          <w:numId w:val="1"/>
        </w:numPr>
      </w:pPr>
      <w:r>
        <w:t>Space Weather Sensors (2023)</w:t>
      </w:r>
    </w:p>
    <w:p w:rsidR="00AA354C" w:rsidRDefault="00AA354C">
      <w:pPr>
        <w:spacing w:before="0" w:beforeAutospacing="0" w:after="0" w:afterAutospacing="0"/>
      </w:pPr>
      <w:r>
        <w:br w:type="page"/>
      </w:r>
    </w:p>
    <w:p w:rsidR="002846AD" w:rsidRDefault="002846AD" w:rsidP="002846AD">
      <w:pPr>
        <w:pStyle w:val="ListParagraph"/>
        <w:numPr>
          <w:ilvl w:val="0"/>
          <w:numId w:val="1"/>
        </w:numPr>
      </w:pPr>
      <w:r>
        <w:lastRenderedPageBreak/>
        <w:t>IMT Above 6 GHz in specific frequency ranges within 10 – 76 GHz</w:t>
      </w:r>
      <w:r w:rsidR="003B2E2B">
        <w:t>:</w:t>
      </w:r>
    </w:p>
    <w:p w:rsidR="002846AD" w:rsidRDefault="002846AD" w:rsidP="002846AD">
      <w:pPr>
        <w:pStyle w:val="ListParagraph"/>
        <w:numPr>
          <w:ilvl w:val="1"/>
          <w:numId w:val="1"/>
        </w:numPr>
      </w:pPr>
      <w:r>
        <w:t>10-10.45 GHz</w:t>
      </w:r>
    </w:p>
    <w:p w:rsidR="002846AD" w:rsidRDefault="002846AD" w:rsidP="002846AD">
      <w:pPr>
        <w:pStyle w:val="ListParagraph"/>
        <w:numPr>
          <w:ilvl w:val="1"/>
          <w:numId w:val="1"/>
        </w:numPr>
      </w:pPr>
      <w:r>
        <w:t>23.15-23.6 GHz</w:t>
      </w:r>
    </w:p>
    <w:p w:rsidR="002846AD" w:rsidRDefault="002846AD" w:rsidP="002846AD">
      <w:pPr>
        <w:pStyle w:val="ListParagraph"/>
        <w:numPr>
          <w:ilvl w:val="1"/>
          <w:numId w:val="1"/>
        </w:numPr>
      </w:pPr>
      <w:r>
        <w:t>24.25-27.5 GHz</w:t>
      </w:r>
    </w:p>
    <w:p w:rsidR="002846AD" w:rsidRDefault="002846AD" w:rsidP="002846AD">
      <w:pPr>
        <w:pStyle w:val="ListParagraph"/>
        <w:numPr>
          <w:ilvl w:val="1"/>
          <w:numId w:val="1"/>
        </w:numPr>
      </w:pPr>
      <w:r>
        <w:t>27.5-29.5 GHz</w:t>
      </w:r>
    </w:p>
    <w:p w:rsidR="002846AD" w:rsidRDefault="002846AD" w:rsidP="002846AD">
      <w:pPr>
        <w:pStyle w:val="ListParagraph"/>
        <w:numPr>
          <w:ilvl w:val="1"/>
          <w:numId w:val="1"/>
        </w:numPr>
      </w:pPr>
      <w:r>
        <w:t>37-40.5 GHz</w:t>
      </w:r>
    </w:p>
    <w:p w:rsidR="002846AD" w:rsidRDefault="002846AD" w:rsidP="002846AD">
      <w:pPr>
        <w:pStyle w:val="ListParagraph"/>
        <w:numPr>
          <w:ilvl w:val="1"/>
          <w:numId w:val="1"/>
        </w:numPr>
      </w:pPr>
      <w:r>
        <w:t>45.5-47 GHz</w:t>
      </w:r>
    </w:p>
    <w:p w:rsidR="002846AD" w:rsidRDefault="003B2E2B" w:rsidP="002846AD">
      <w:pPr>
        <w:pStyle w:val="ListParagraph"/>
        <w:numPr>
          <w:ilvl w:val="1"/>
          <w:numId w:val="1"/>
        </w:numPr>
      </w:pPr>
      <w:r>
        <w:t>47.2-50.2 GHz</w:t>
      </w:r>
    </w:p>
    <w:p w:rsidR="003B2E2B" w:rsidRDefault="003B2E2B" w:rsidP="002846AD">
      <w:pPr>
        <w:pStyle w:val="ListParagraph"/>
        <w:numPr>
          <w:ilvl w:val="1"/>
          <w:numId w:val="1"/>
        </w:numPr>
      </w:pPr>
      <w:r>
        <w:t>50.4-52.6 GHz</w:t>
      </w:r>
    </w:p>
    <w:p w:rsidR="003B2E2B" w:rsidRDefault="003B2E2B" w:rsidP="002846AD">
      <w:pPr>
        <w:pStyle w:val="ListParagraph"/>
        <w:numPr>
          <w:ilvl w:val="1"/>
          <w:numId w:val="1"/>
        </w:numPr>
      </w:pPr>
      <w:r>
        <w:t>59.3-76 GHz</w:t>
      </w:r>
    </w:p>
    <w:p w:rsidR="00A530FD" w:rsidRDefault="00A530FD" w:rsidP="00A530FD">
      <w:r>
        <w:rPr>
          <w:b/>
          <w:bCs/>
          <w:u w:val="single"/>
        </w:rPr>
        <w:t>X. Action (by SG-RFC) Proposed</w:t>
      </w:r>
      <w:r w:rsidRPr="00A530FD">
        <w:rPr>
          <w:bCs/>
          <w:i/>
        </w:rPr>
        <w:t xml:space="preserve"> </w:t>
      </w:r>
    </w:p>
    <w:p w:rsidR="00A530FD" w:rsidRDefault="00CB063C" w:rsidP="00A530FD">
      <w:r>
        <w:t>The SG-RFC is requested to take this information into account during meeting discussions.</w:t>
      </w:r>
    </w:p>
    <w:p w:rsidR="00A530FD" w:rsidRDefault="00A530FD" w:rsidP="00A530FD">
      <w:r>
        <w:rPr>
          <w:b/>
          <w:bCs/>
          <w:u w:val="single"/>
        </w:rPr>
        <w:t>Y. Draft Text for Inclusion in the SG-RFC Meeting Reports or Other Documents</w:t>
      </w:r>
      <w:r w:rsidR="00107650">
        <w:rPr>
          <w:bCs/>
          <w:i/>
        </w:rPr>
        <w:t xml:space="preserve"> </w:t>
      </w:r>
    </w:p>
    <w:p w:rsidR="00A530FD" w:rsidRDefault="00CB063C" w:rsidP="00A530FD">
      <w:r>
        <w:t>The information can be used in developing the WMO Position Paper for WRC-15.</w:t>
      </w:r>
    </w:p>
    <w:p w:rsidR="00A530FD" w:rsidRDefault="00A530FD" w:rsidP="00A530FD">
      <w:pPr>
        <w:pStyle w:val="Default"/>
        <w:jc w:val="both"/>
      </w:pPr>
    </w:p>
    <w:sectPr w:rsidR="00A530FD" w:rsidSect="00167708">
      <w:headerReference w:type="default" r:id="rId10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A4" w:rsidRDefault="000623A4" w:rsidP="007A73F8">
      <w:pPr>
        <w:spacing w:before="0" w:after="0"/>
      </w:pPr>
      <w:r>
        <w:separator/>
      </w:r>
    </w:p>
  </w:endnote>
  <w:endnote w:type="continuationSeparator" w:id="0">
    <w:p w:rsidR="000623A4" w:rsidRDefault="000623A4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A4" w:rsidRDefault="000623A4" w:rsidP="007A73F8">
      <w:pPr>
        <w:spacing w:before="0" w:after="0"/>
      </w:pPr>
      <w:r>
        <w:separator/>
      </w:r>
    </w:p>
  </w:footnote>
  <w:footnote w:type="continuationSeparator" w:id="0">
    <w:p w:rsidR="000623A4" w:rsidRDefault="000623A4" w:rsidP="007A73F8">
      <w:pPr>
        <w:spacing w:before="0" w:after="0"/>
      </w:pPr>
      <w:r>
        <w:continuationSeparator/>
      </w:r>
    </w:p>
  </w:footnote>
  <w:footnote w:id="1">
    <w:p w:rsidR="00AA360F" w:rsidRDefault="00AA360F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0F" w:rsidRPr="009C443D" w:rsidRDefault="00AA360F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Pr="009C443D">
      <w:rPr>
        <w:rStyle w:val="PageNumber"/>
        <w:sz w:val="18"/>
        <w:szCs w:val="18"/>
      </w:rPr>
      <w:fldChar w:fldCharType="separate"/>
    </w:r>
    <w:r w:rsidR="008539AA">
      <w:rPr>
        <w:rStyle w:val="PageNumber"/>
        <w:noProof/>
        <w:sz w:val="18"/>
        <w:szCs w:val="18"/>
      </w:rPr>
      <w:t>3</w:t>
    </w:r>
    <w:r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AA360F" w:rsidRDefault="00AA360F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</w:t>
    </w:r>
    <w:r w:rsidR="00AA354C">
      <w:rPr>
        <w:sz w:val="18"/>
        <w:szCs w:val="18"/>
      </w:rPr>
      <w:t>5</w:t>
    </w:r>
    <w:r>
      <w:rPr>
        <w:sz w:val="18"/>
        <w:szCs w:val="18"/>
      </w:rPr>
      <w:t>-</w:t>
    </w:r>
    <w:r w:rsidR="008539AA">
      <w:rPr>
        <w:sz w:val="18"/>
        <w:szCs w:val="18"/>
      </w:rPr>
      <w:t>Doc22</w:t>
    </w:r>
    <w:r w:rsidRPr="009C443D">
      <w:rPr>
        <w:sz w:val="18"/>
        <w:szCs w:val="18"/>
      </w:rPr>
      <w:t>-E</w:t>
    </w:r>
  </w:p>
  <w:p w:rsidR="00AA360F" w:rsidRPr="009C443D" w:rsidRDefault="00AA360F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908"/>
    <w:multiLevelType w:val="hybridMultilevel"/>
    <w:tmpl w:val="F1DC14C6"/>
    <w:lvl w:ilvl="0" w:tplc="CD828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309C2"/>
    <w:rsid w:val="000309FF"/>
    <w:rsid w:val="0004008D"/>
    <w:rsid w:val="000623A4"/>
    <w:rsid w:val="000757E9"/>
    <w:rsid w:val="00082939"/>
    <w:rsid w:val="000979EA"/>
    <w:rsid w:val="000A42FF"/>
    <w:rsid w:val="000A504D"/>
    <w:rsid w:val="000A600F"/>
    <w:rsid w:val="000E608D"/>
    <w:rsid w:val="00102305"/>
    <w:rsid w:val="00107650"/>
    <w:rsid w:val="00113766"/>
    <w:rsid w:val="0014262E"/>
    <w:rsid w:val="00167708"/>
    <w:rsid w:val="00185160"/>
    <w:rsid w:val="0018521E"/>
    <w:rsid w:val="001B2071"/>
    <w:rsid w:val="001B25A7"/>
    <w:rsid w:val="001C0096"/>
    <w:rsid w:val="0021210B"/>
    <w:rsid w:val="00223B48"/>
    <w:rsid w:val="0027433C"/>
    <w:rsid w:val="00277FCC"/>
    <w:rsid w:val="002846AD"/>
    <w:rsid w:val="002A46EC"/>
    <w:rsid w:val="002A6E93"/>
    <w:rsid w:val="002E18C0"/>
    <w:rsid w:val="002E2AE4"/>
    <w:rsid w:val="00304706"/>
    <w:rsid w:val="00344376"/>
    <w:rsid w:val="00347E8E"/>
    <w:rsid w:val="0036338C"/>
    <w:rsid w:val="003B2E2B"/>
    <w:rsid w:val="003F0BAE"/>
    <w:rsid w:val="00422D26"/>
    <w:rsid w:val="0044117D"/>
    <w:rsid w:val="00466E06"/>
    <w:rsid w:val="00477E34"/>
    <w:rsid w:val="004E7941"/>
    <w:rsid w:val="00510362"/>
    <w:rsid w:val="005B5FEE"/>
    <w:rsid w:val="00604C1A"/>
    <w:rsid w:val="00613500"/>
    <w:rsid w:val="006237F8"/>
    <w:rsid w:val="00682FE9"/>
    <w:rsid w:val="00683FE2"/>
    <w:rsid w:val="00695EB8"/>
    <w:rsid w:val="006A4FF3"/>
    <w:rsid w:val="006B4441"/>
    <w:rsid w:val="006F650D"/>
    <w:rsid w:val="00701FDB"/>
    <w:rsid w:val="00713E61"/>
    <w:rsid w:val="007268E7"/>
    <w:rsid w:val="00767181"/>
    <w:rsid w:val="00776EFE"/>
    <w:rsid w:val="007777CB"/>
    <w:rsid w:val="00790387"/>
    <w:rsid w:val="007A73F8"/>
    <w:rsid w:val="007A7EA5"/>
    <w:rsid w:val="007F3F87"/>
    <w:rsid w:val="007F6686"/>
    <w:rsid w:val="008075D2"/>
    <w:rsid w:val="00812884"/>
    <w:rsid w:val="00820C6F"/>
    <w:rsid w:val="008276D1"/>
    <w:rsid w:val="00832FA4"/>
    <w:rsid w:val="0084266A"/>
    <w:rsid w:val="00852F63"/>
    <w:rsid w:val="008539AA"/>
    <w:rsid w:val="008674B1"/>
    <w:rsid w:val="00872AB2"/>
    <w:rsid w:val="00876393"/>
    <w:rsid w:val="00891B49"/>
    <w:rsid w:val="008D24C5"/>
    <w:rsid w:val="0093198A"/>
    <w:rsid w:val="00991D0C"/>
    <w:rsid w:val="009C443D"/>
    <w:rsid w:val="00A16C11"/>
    <w:rsid w:val="00A30EDB"/>
    <w:rsid w:val="00A409CB"/>
    <w:rsid w:val="00A530FD"/>
    <w:rsid w:val="00A80B44"/>
    <w:rsid w:val="00A90A0C"/>
    <w:rsid w:val="00AA354C"/>
    <w:rsid w:val="00AA360F"/>
    <w:rsid w:val="00B13392"/>
    <w:rsid w:val="00B1454C"/>
    <w:rsid w:val="00B16AE0"/>
    <w:rsid w:val="00B35CA8"/>
    <w:rsid w:val="00B82F98"/>
    <w:rsid w:val="00BB2405"/>
    <w:rsid w:val="00BB65DE"/>
    <w:rsid w:val="00BC3021"/>
    <w:rsid w:val="00C34014"/>
    <w:rsid w:val="00CA0ED3"/>
    <w:rsid w:val="00CB063C"/>
    <w:rsid w:val="00CC0BD7"/>
    <w:rsid w:val="00CE2A96"/>
    <w:rsid w:val="00D01EB3"/>
    <w:rsid w:val="00D027EB"/>
    <w:rsid w:val="00DC1CA7"/>
    <w:rsid w:val="00DC310B"/>
    <w:rsid w:val="00E30F56"/>
    <w:rsid w:val="00E32FDB"/>
    <w:rsid w:val="00E33512"/>
    <w:rsid w:val="00E6563A"/>
    <w:rsid w:val="00E92931"/>
    <w:rsid w:val="00EA7371"/>
    <w:rsid w:val="00F12FBE"/>
    <w:rsid w:val="00F30103"/>
    <w:rsid w:val="00F704A4"/>
    <w:rsid w:val="00F91405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1DB2D-2B75-44C1-9904-E99540089A5C}"/>
</file>

<file path=customXml/itemProps2.xml><?xml version="1.0" encoding="utf-8"?>
<ds:datastoreItem xmlns:ds="http://schemas.openxmlformats.org/officeDocument/2006/customXml" ds:itemID="{98673EFF-8B3F-4ECB-961C-8E48F8BC2099}"/>
</file>

<file path=customXml/itemProps3.xml><?xml version="1.0" encoding="utf-8"?>
<ds:datastoreItem xmlns:ds="http://schemas.openxmlformats.org/officeDocument/2006/customXml" ds:itemID="{755EDCD7-E67C-4698-8ECB-CC5EACFE810A}"/>
</file>

<file path=docProps/app.xml><?xml version="1.0" encoding="utf-8"?>
<Properties xmlns="http://schemas.openxmlformats.org/officeDocument/2006/extended-properties" xmlns:vt="http://schemas.openxmlformats.org/officeDocument/2006/docPropsVTypes">
  <Template>1B5613A.dotm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Doc Title</dc:subject>
  <dc:creator>Alexandre VASSILIEV</dc:creator>
  <cp:lastModifiedBy>David Thomas</cp:lastModifiedBy>
  <cp:revision>3</cp:revision>
  <cp:lastPrinted>2012-10-22T16:15:00Z</cp:lastPrinted>
  <dcterms:created xsi:type="dcterms:W3CDTF">2015-09-16T14:23:00Z</dcterms:created>
  <dcterms:modified xsi:type="dcterms:W3CDTF">2015-09-16T14:51:00Z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