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14:paraId="06715748" w14:textId="77777777">
        <w:trPr>
          <w:cantSplit/>
          <w:trHeight w:val="1438"/>
        </w:trPr>
        <w:tc>
          <w:tcPr>
            <w:tcW w:w="4548" w:type="dxa"/>
            <w:vAlign w:val="center"/>
          </w:tcPr>
          <w:p w14:paraId="125E3930" w14:textId="77777777"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14:paraId="43C4A3BB" w14:textId="77777777"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14:paraId="69CA06BC" w14:textId="77777777" w:rsidR="00701FDB" w:rsidRPr="00812884" w:rsidRDefault="00E33512" w:rsidP="00E33512">
            <w:pPr>
              <w:shd w:val="solid" w:color="FFFFFF" w:fill="FFFFFF"/>
              <w:spacing w:before="240" w:beforeAutospacing="0" w:after="0" w:afterAutospacing="0" w:line="240" w:lineRule="atLeast"/>
            </w:pPr>
            <w:r w:rsidRPr="0014262E">
              <w:object w:dxaOrig="6210" w:dyaOrig="1260" w14:anchorId="1782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5pt;height:55.75pt" o:ole="">
                  <v:imagedata r:id="rId7" o:title=""/>
                </v:shape>
                <o:OLEObject Type="Embed" ProgID="PBrush" ShapeID="_x0000_i1025" DrawAspect="Content" ObjectID="_1503839362" r:id="rId8"/>
              </w:object>
            </w:r>
          </w:p>
        </w:tc>
      </w:tr>
      <w:tr w:rsidR="00701FDB" w:rsidRPr="00812884" w14:paraId="0EC68762" w14:textId="77777777">
        <w:trPr>
          <w:cantSplit/>
        </w:trPr>
        <w:tc>
          <w:tcPr>
            <w:tcW w:w="6228" w:type="dxa"/>
            <w:gridSpan w:val="2"/>
            <w:tcBorders>
              <w:top w:val="single" w:sz="12" w:space="0" w:color="auto"/>
            </w:tcBorders>
          </w:tcPr>
          <w:p w14:paraId="452E17BC" w14:textId="77777777"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14:paraId="14515214" w14:textId="77777777" w:rsidR="00701FDB" w:rsidRPr="00812884" w:rsidRDefault="00701FDB" w:rsidP="00E33512">
            <w:pPr>
              <w:shd w:val="solid" w:color="FFFFFF" w:fill="FFFFFF"/>
              <w:spacing w:after="48" w:line="240" w:lineRule="atLeast"/>
            </w:pPr>
          </w:p>
        </w:tc>
      </w:tr>
      <w:tr w:rsidR="00682FE9" w:rsidRPr="00812884" w14:paraId="008AEE2A" w14:textId="77777777">
        <w:trPr>
          <w:cantSplit/>
          <w:trHeight w:val="83"/>
        </w:trPr>
        <w:tc>
          <w:tcPr>
            <w:tcW w:w="6228" w:type="dxa"/>
            <w:gridSpan w:val="2"/>
            <w:vMerge w:val="restart"/>
          </w:tcPr>
          <w:p w14:paraId="71448454" w14:textId="77777777"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14:paraId="6C958086" w14:textId="77777777" w:rsidR="00872AB2" w:rsidRPr="0044117D" w:rsidRDefault="00AA360F" w:rsidP="00AA360F">
            <w:pPr>
              <w:shd w:val="solid" w:color="FFFFFF" w:fill="FFFFFF"/>
              <w:spacing w:after="240"/>
              <w:rPr>
                <w:rFonts w:ascii="Verdana" w:hAnsi="Verdana" w:cs="Verdana"/>
                <w:sz w:val="20"/>
                <w:szCs w:val="20"/>
              </w:rPr>
            </w:pPr>
            <w:proofErr w:type="spellStart"/>
            <w:r>
              <w:rPr>
                <w:rFonts w:ascii="Verdana" w:hAnsi="Verdana" w:cs="Verdana"/>
                <w:b/>
                <w:sz w:val="20"/>
                <w:szCs w:val="20"/>
              </w:rPr>
              <w:t>Payerne</w:t>
            </w:r>
            <w:proofErr w:type="spellEnd"/>
            <w:r w:rsidR="006F650D">
              <w:rPr>
                <w:rFonts w:ascii="Verdana" w:hAnsi="Verdana" w:cs="Verdana"/>
                <w:b/>
                <w:sz w:val="20"/>
                <w:szCs w:val="20"/>
              </w:rPr>
              <w:t xml:space="preserve">, </w:t>
            </w:r>
            <w:r>
              <w:rPr>
                <w:rFonts w:ascii="Verdana" w:hAnsi="Verdana" w:cs="Verdana"/>
                <w:b/>
                <w:sz w:val="20"/>
                <w:szCs w:val="20"/>
              </w:rPr>
              <w:t>Switzerland</w:t>
            </w:r>
            <w:r w:rsidR="00872AB2" w:rsidRPr="00872AB2">
              <w:rPr>
                <w:rFonts w:ascii="Verdana" w:hAnsi="Verdana" w:cs="Verdana"/>
                <w:b/>
                <w:sz w:val="20"/>
                <w:szCs w:val="20"/>
              </w:rPr>
              <w:t xml:space="preserve">. </w:t>
            </w:r>
            <w:r>
              <w:rPr>
                <w:rFonts w:ascii="Verdana" w:hAnsi="Verdana" w:cs="Verdana"/>
                <w:b/>
                <w:sz w:val="20"/>
                <w:szCs w:val="20"/>
              </w:rPr>
              <w:t>22-25 September</w:t>
            </w:r>
            <w:r w:rsidR="00872AB2" w:rsidRPr="00872AB2">
              <w:rPr>
                <w:rFonts w:ascii="Verdana" w:hAnsi="Verdana" w:cs="Verdana"/>
                <w:b/>
                <w:sz w:val="20"/>
                <w:szCs w:val="20"/>
              </w:rPr>
              <w:t xml:space="preserve"> 201</w:t>
            </w:r>
            <w:r>
              <w:rPr>
                <w:rFonts w:ascii="Verdana" w:hAnsi="Verdana" w:cs="Verdana"/>
                <w:b/>
                <w:sz w:val="20"/>
                <w:szCs w:val="20"/>
              </w:rPr>
              <w:t>5</w:t>
            </w:r>
            <w:r w:rsidR="00872AB2">
              <w:rPr>
                <w:rFonts w:ascii="Verdana" w:hAnsi="Verdana" w:cs="Verdana"/>
                <w:b/>
                <w:sz w:val="20"/>
                <w:szCs w:val="20"/>
              </w:rPr>
              <w:t>.</w:t>
            </w:r>
          </w:p>
        </w:tc>
        <w:tc>
          <w:tcPr>
            <w:tcW w:w="3803" w:type="dxa"/>
            <w:gridSpan w:val="3"/>
          </w:tcPr>
          <w:p w14:paraId="3E70982E" w14:textId="37A0CB58" w:rsidR="00682FE9" w:rsidRPr="007A7EA5" w:rsidRDefault="00682FE9" w:rsidP="00F2352F">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AA360F">
              <w:rPr>
                <w:rFonts w:ascii="Verdana" w:hAnsi="Verdana" w:cs="Verdana"/>
                <w:b/>
                <w:bCs/>
                <w:sz w:val="20"/>
                <w:szCs w:val="20"/>
                <w:lang w:eastAsia="zh-CN"/>
              </w:rPr>
              <w:t>5</w:t>
            </w:r>
            <w:r>
              <w:rPr>
                <w:rFonts w:ascii="Verdana" w:hAnsi="Verdana" w:cs="Verdana"/>
                <w:b/>
                <w:bCs/>
                <w:sz w:val="20"/>
                <w:szCs w:val="20"/>
                <w:lang w:eastAsia="zh-CN"/>
              </w:rPr>
              <w:t>-</w:t>
            </w:r>
            <w:r w:rsidR="00F2352F">
              <w:rPr>
                <w:rFonts w:ascii="Verdana" w:hAnsi="Verdana" w:cs="Verdana"/>
                <w:b/>
                <w:bCs/>
                <w:sz w:val="20"/>
                <w:szCs w:val="20"/>
                <w:lang w:eastAsia="zh-CN"/>
              </w:rPr>
              <w:t>Doc13</w:t>
            </w:r>
          </w:p>
        </w:tc>
      </w:tr>
      <w:tr w:rsidR="00682FE9" w:rsidRPr="00812884" w14:paraId="4A562942" w14:textId="77777777">
        <w:trPr>
          <w:cantSplit/>
          <w:trHeight w:val="81"/>
        </w:trPr>
        <w:tc>
          <w:tcPr>
            <w:tcW w:w="6228" w:type="dxa"/>
            <w:gridSpan w:val="2"/>
            <w:vMerge/>
          </w:tcPr>
          <w:p w14:paraId="6CDF5F60"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14:paraId="505AE6D4" w14:textId="4D661E83" w:rsidR="00682FE9" w:rsidRPr="00812884" w:rsidRDefault="00F2352F" w:rsidP="00AA360F">
            <w:pPr>
              <w:shd w:val="solid" w:color="FFFFFF" w:fill="FFFFFF"/>
              <w:spacing w:before="0" w:line="240" w:lineRule="atLeast"/>
              <w:rPr>
                <w:rFonts w:ascii="Verdana" w:hAnsi="Verdana" w:cs="Verdana"/>
                <w:sz w:val="20"/>
                <w:szCs w:val="20"/>
                <w:lang w:eastAsia="zh-CN"/>
              </w:rPr>
            </w:pPr>
            <w:r w:rsidRPr="00F2352F">
              <w:rPr>
                <w:rFonts w:ascii="Verdana" w:hAnsi="Verdana" w:cs="Verdana"/>
                <w:b/>
                <w:bCs/>
                <w:sz w:val="20"/>
                <w:szCs w:val="20"/>
                <w:lang w:eastAsia="zh-CN"/>
              </w:rPr>
              <w:t>15 September</w:t>
            </w:r>
            <w:r w:rsidR="00682FE9" w:rsidRPr="00F2352F">
              <w:rPr>
                <w:rFonts w:ascii="Verdana" w:hAnsi="Verdana" w:cs="Verdana"/>
                <w:b/>
                <w:bCs/>
                <w:sz w:val="20"/>
                <w:szCs w:val="20"/>
                <w:lang w:eastAsia="zh-CN"/>
              </w:rPr>
              <w:t xml:space="preserve"> </w:t>
            </w:r>
            <w:r w:rsidR="00872AB2" w:rsidRPr="00F2352F">
              <w:rPr>
                <w:rFonts w:ascii="Verdana" w:hAnsi="Verdana" w:cs="Verdana"/>
                <w:b/>
                <w:bCs/>
                <w:sz w:val="20"/>
                <w:szCs w:val="20"/>
                <w:lang w:eastAsia="zh-CN"/>
              </w:rPr>
              <w:t>201</w:t>
            </w:r>
            <w:r w:rsidR="00AA360F" w:rsidRPr="00F2352F">
              <w:rPr>
                <w:rFonts w:ascii="Verdana" w:hAnsi="Verdana" w:cs="Verdana"/>
                <w:b/>
                <w:bCs/>
                <w:sz w:val="20"/>
                <w:szCs w:val="20"/>
                <w:lang w:eastAsia="zh-CN"/>
              </w:rPr>
              <w:t>5</w:t>
            </w:r>
          </w:p>
        </w:tc>
      </w:tr>
      <w:tr w:rsidR="00682FE9" w:rsidRPr="00812884" w14:paraId="3B192A25" w14:textId="77777777">
        <w:trPr>
          <w:cantSplit/>
          <w:trHeight w:val="120"/>
        </w:trPr>
        <w:tc>
          <w:tcPr>
            <w:tcW w:w="6228" w:type="dxa"/>
            <w:gridSpan w:val="2"/>
            <w:vMerge/>
          </w:tcPr>
          <w:p w14:paraId="6679A570"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14:paraId="63CC9912" w14:textId="77777777"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14:paraId="30925238" w14:textId="77777777">
        <w:trPr>
          <w:cantSplit/>
          <w:trHeight w:val="120"/>
        </w:trPr>
        <w:tc>
          <w:tcPr>
            <w:tcW w:w="6228" w:type="dxa"/>
            <w:gridSpan w:val="2"/>
            <w:vMerge/>
          </w:tcPr>
          <w:p w14:paraId="4F72A8C7"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14:paraId="7CC1C43D" w14:textId="77777777"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14:paraId="4FD45803" w14:textId="77777777">
        <w:trPr>
          <w:cantSplit/>
          <w:trHeight w:val="120"/>
        </w:trPr>
        <w:tc>
          <w:tcPr>
            <w:tcW w:w="6228" w:type="dxa"/>
            <w:gridSpan w:val="2"/>
            <w:vMerge/>
          </w:tcPr>
          <w:p w14:paraId="78690422" w14:textId="77777777"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14:paraId="6FD08BBA" w14:textId="77777777"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14:paraId="2E8D56AF" w14:textId="77777777"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r w:rsidRPr="00F2352F">
              <w:rPr>
                <w:rFonts w:ascii="Verdana" w:eastAsia="SimSun" w:hAnsi="Verdana" w:cs="Verdana"/>
                <w:b/>
                <w:bCs/>
                <w:sz w:val="20"/>
                <w:szCs w:val="20"/>
                <w:lang w:eastAsia="zh-CN"/>
              </w:rPr>
              <w:t>N</w:t>
            </w:r>
            <w:bookmarkStart w:id="3" w:name="_GoBack"/>
            <w:bookmarkEnd w:id="3"/>
          </w:p>
        </w:tc>
        <w:tc>
          <w:tcPr>
            <w:tcW w:w="443" w:type="dxa"/>
            <w:tcBorders>
              <w:left w:val="single" w:sz="8" w:space="0" w:color="auto"/>
            </w:tcBorders>
            <w:vAlign w:val="center"/>
          </w:tcPr>
          <w:p w14:paraId="7F4331A4" w14:textId="77777777"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14:paraId="06178C71" w14:textId="77777777">
        <w:trPr>
          <w:cantSplit/>
        </w:trPr>
        <w:tc>
          <w:tcPr>
            <w:tcW w:w="10031" w:type="dxa"/>
            <w:gridSpan w:val="5"/>
            <w:noWrap/>
            <w:tcMar>
              <w:left w:w="6" w:type="dxa"/>
              <w:right w:w="6" w:type="dxa"/>
            </w:tcMar>
          </w:tcPr>
          <w:p w14:paraId="2041599D" w14:textId="77777777" w:rsidR="00701FDB" w:rsidRPr="00683FE2" w:rsidRDefault="00701FDB" w:rsidP="00832FA4">
            <w:pPr>
              <w:pStyle w:val="Source"/>
              <w:rPr>
                <w:lang w:eastAsia="zh-CN"/>
              </w:rPr>
            </w:pPr>
            <w:bookmarkStart w:id="4" w:name="dsource" w:colFirst="0" w:colLast="0"/>
            <w:bookmarkEnd w:id="2"/>
            <w:r w:rsidRPr="00683FE2">
              <w:t>STEERING GROUP ON RADIO FREQUENCY COORDINATION (SG-RFC)</w:t>
            </w:r>
          </w:p>
        </w:tc>
      </w:tr>
      <w:tr w:rsidR="00B1454C" w:rsidRPr="00812884" w14:paraId="7BBDFC35" w14:textId="77777777">
        <w:trPr>
          <w:cantSplit/>
        </w:trPr>
        <w:tc>
          <w:tcPr>
            <w:tcW w:w="10031" w:type="dxa"/>
            <w:gridSpan w:val="5"/>
          </w:tcPr>
          <w:p w14:paraId="50738B90" w14:textId="77777777" w:rsidR="00B1454C" w:rsidRPr="00D027EB" w:rsidRDefault="00AA360F" w:rsidP="00B1454C">
            <w:pPr>
              <w:pStyle w:val="RepNo"/>
              <w:rPr>
                <w:b/>
                <w:bCs/>
                <w:lang w:eastAsia="zh-CN"/>
              </w:rPr>
            </w:pPr>
            <w:bookmarkStart w:id="5" w:name="drec" w:colFirst="0" w:colLast="0"/>
            <w:bookmarkEnd w:id="4"/>
            <w:r>
              <w:rPr>
                <w:lang w:val="en-US" w:eastAsia="zh-CN"/>
              </w:rPr>
              <w:t>David FRanc (USA)</w:t>
            </w:r>
          </w:p>
        </w:tc>
      </w:tr>
      <w:tr w:rsidR="00B1454C" w:rsidRPr="00812884" w14:paraId="043C2DFE" w14:textId="77777777">
        <w:trPr>
          <w:cantSplit/>
        </w:trPr>
        <w:tc>
          <w:tcPr>
            <w:tcW w:w="10031" w:type="dxa"/>
            <w:gridSpan w:val="5"/>
          </w:tcPr>
          <w:p w14:paraId="428188D8" w14:textId="77777777" w:rsidR="006A327E" w:rsidRDefault="006A327E" w:rsidP="006A327E">
            <w:pPr>
              <w:spacing w:before="0" w:beforeAutospacing="0" w:after="0" w:afterAutospacing="0"/>
              <w:jc w:val="center"/>
              <w:rPr>
                <w:b/>
                <w:sz w:val="28"/>
                <w:szCs w:val="28"/>
              </w:rPr>
            </w:pPr>
            <w:bookmarkStart w:id="6" w:name="dtitle1" w:colFirst="0" w:colLast="0"/>
            <w:bookmarkEnd w:id="5"/>
          </w:p>
          <w:p w14:paraId="7E6BAF97" w14:textId="77777777" w:rsidR="00B1454C" w:rsidRPr="006A327E" w:rsidRDefault="006A327E" w:rsidP="006A327E">
            <w:pPr>
              <w:spacing w:before="0" w:beforeAutospacing="0" w:after="0" w:afterAutospacing="0"/>
              <w:jc w:val="center"/>
              <w:rPr>
                <w:bCs/>
                <w:sz w:val="28"/>
                <w:szCs w:val="28"/>
                <w:lang w:eastAsia="zh-CN"/>
              </w:rPr>
            </w:pPr>
            <w:r w:rsidRPr="006A327E">
              <w:rPr>
                <w:b/>
                <w:sz w:val="28"/>
                <w:szCs w:val="28"/>
              </w:rPr>
              <w:t>Information Document for CIMO- Summary of Wind Profiler Radar Spectrum</w:t>
            </w:r>
          </w:p>
        </w:tc>
      </w:tr>
      <w:bookmarkEnd w:id="6"/>
    </w:tbl>
    <w:p w14:paraId="13BD1FC0" w14:textId="77777777"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14:paraId="5977BE3F" w14:textId="77777777" w:rsidR="00B1454C" w:rsidRDefault="00B1454C" w:rsidP="00A530FD">
      <w:r>
        <w:rPr>
          <w:b/>
          <w:bCs/>
          <w:u w:val="single"/>
        </w:rPr>
        <w:t>Introduction</w:t>
      </w:r>
    </w:p>
    <w:p w14:paraId="61CA6B40" w14:textId="77777777" w:rsidR="00B1454C" w:rsidRDefault="006A327E" w:rsidP="00A530FD">
      <w:r>
        <w:t xml:space="preserve">During the November 2014 meeting of the SG-RFC Steering Group members as well as WMO staff involved with CIMO expressed a concern that some potential proposal for WRC-15 could impact the ability of WMO members to use radio spectrum identified for wind profiler radar operations.  Some </w:t>
      </w:r>
      <w:r w:rsidR="003F6F49">
        <w:t>participants</w:t>
      </w:r>
      <w:r>
        <w:t xml:space="preserve"> indicated that they believe some action may be required to ensure </w:t>
      </w:r>
      <w:r w:rsidR="00453F43">
        <w:t xml:space="preserve">continued </w:t>
      </w:r>
      <w:r>
        <w:t>protection of wind profiler radar operations.</w:t>
      </w:r>
    </w:p>
    <w:p w14:paraId="2D815376" w14:textId="77777777" w:rsidR="006A327E" w:rsidRDefault="006A327E" w:rsidP="00A530FD">
      <w:r>
        <w:t>Side discussions resulted in an agreement that a document outlining the current state of spectrum usable by wind profiler radars was needed and should be provided to CIMO.  In return CIMO should prov</w:t>
      </w:r>
      <w:r w:rsidR="003F6F49">
        <w:t>i</w:t>
      </w:r>
      <w:r>
        <w:t>de th</w:t>
      </w:r>
      <w:r w:rsidR="003F6F49">
        <w:t>e</w:t>
      </w:r>
      <w:r>
        <w:t xml:space="preserve"> SG-RFC a document outlining the WMO strategy for future wind profiler radars operations and indicate where deficiencies </w:t>
      </w:r>
      <w:r w:rsidR="00453F43">
        <w:t>exist</w:t>
      </w:r>
      <w:r>
        <w:t xml:space="preserve"> i</w:t>
      </w:r>
      <w:r w:rsidR="003F6F49">
        <w:t>n</w:t>
      </w:r>
      <w:r>
        <w:t xml:space="preserve"> the spectrum already available.  </w:t>
      </w:r>
      <w:r w:rsidR="003F6F49">
        <w:t>Based on that strategy the SG-RFC could better determine if any actions are required relating to protection of radio spectrum used by wind profiler radars.</w:t>
      </w:r>
    </w:p>
    <w:p w14:paraId="556BAE35" w14:textId="77777777" w:rsidR="00A530FD" w:rsidRDefault="00B1454C" w:rsidP="00453F43">
      <w:pPr>
        <w:pStyle w:val="Default"/>
        <w:jc w:val="both"/>
      </w:pPr>
      <w:r w:rsidRPr="00790387">
        <w:t xml:space="preserve"> </w:t>
      </w:r>
      <w:r w:rsidR="00A530FD">
        <w:rPr>
          <w:b/>
          <w:bCs/>
          <w:u w:val="single"/>
        </w:rPr>
        <w:t>X. Action (by SG-RFC) Proposed</w:t>
      </w:r>
      <w:r w:rsidR="00A530FD" w:rsidRPr="00A530FD">
        <w:rPr>
          <w:bCs/>
          <w:i/>
        </w:rPr>
        <w:t xml:space="preserve"> (for example, note the information, study the matter, etc.)</w:t>
      </w:r>
    </w:p>
    <w:p w14:paraId="1F070704" w14:textId="77777777" w:rsidR="00A530FD" w:rsidRDefault="003F6F49" w:rsidP="00A530FD">
      <w:r>
        <w:t xml:space="preserve">WMO SG-RFC members are requested to review and comment on the attached document and assist finalizing a version that </w:t>
      </w:r>
      <w:r w:rsidR="001552FC">
        <w:t>the</w:t>
      </w:r>
      <w:r>
        <w:t xml:space="preserve"> CIMO Theme Leader</w:t>
      </w:r>
      <w:r w:rsidR="001552FC">
        <w:t>s</w:t>
      </w:r>
      <w:r>
        <w:t xml:space="preserve"> on </w:t>
      </w:r>
      <w:r w:rsidR="001552FC">
        <w:t xml:space="preserve">Radio </w:t>
      </w:r>
      <w:r>
        <w:t xml:space="preserve">Frequency </w:t>
      </w:r>
      <w:r w:rsidR="00453F43">
        <w:t>P</w:t>
      </w:r>
      <w:r>
        <w:t>rotection can provide to the relevant CIMO Expert Teams.</w:t>
      </w:r>
    </w:p>
    <w:p w14:paraId="6BA4DD2C" w14:textId="77777777" w:rsidR="00A530FD" w:rsidRDefault="00A530FD" w:rsidP="00A530FD">
      <w:r>
        <w:rPr>
          <w:b/>
          <w:bCs/>
          <w:u w:val="single"/>
        </w:rPr>
        <w:t>Y. Draft Text for Inclusion in the SG-RFC Meeting Reports or Other Documents</w:t>
      </w:r>
      <w:r w:rsidR="00107650">
        <w:rPr>
          <w:bCs/>
          <w:i/>
        </w:rPr>
        <w:t xml:space="preserve"> </w:t>
      </w:r>
    </w:p>
    <w:p w14:paraId="2EC5CE15" w14:textId="77777777" w:rsidR="00A530FD" w:rsidRDefault="003F6F49" w:rsidP="00A530FD">
      <w:proofErr w:type="gramStart"/>
      <w:r>
        <w:t>Dependent on discussion during the September 2015 SG-RFC meeting.</w:t>
      </w:r>
      <w:proofErr w:type="gramEnd"/>
      <w:r>
        <w:t xml:space="preserve"> </w:t>
      </w:r>
    </w:p>
    <w:p w14:paraId="757FC116" w14:textId="77777777" w:rsidR="006A327E" w:rsidRDefault="006A327E">
      <w:pPr>
        <w:spacing w:before="0" w:beforeAutospacing="0" w:after="0" w:afterAutospacing="0"/>
        <w:rPr>
          <w:color w:val="000000"/>
        </w:rPr>
      </w:pPr>
    </w:p>
    <w:p w14:paraId="411F5171" w14:textId="77777777" w:rsidR="00453F43" w:rsidRDefault="006A327E" w:rsidP="006A327E">
      <w:pPr>
        <w:spacing w:before="0" w:beforeAutospacing="0" w:after="0" w:afterAutospacing="0"/>
        <w:jc w:val="center"/>
        <w:rPr>
          <w:b/>
        </w:rPr>
      </w:pPr>
      <w:r>
        <w:rPr>
          <w:b/>
        </w:rPr>
        <w:t>Information Document for CIMO-Summary</w:t>
      </w:r>
      <w:r w:rsidRPr="00A2789B">
        <w:rPr>
          <w:b/>
        </w:rPr>
        <w:t xml:space="preserve"> of Wind Profiler Radar Spectrum</w:t>
      </w:r>
      <w:r>
        <w:rPr>
          <w:b/>
        </w:rPr>
        <w:t xml:space="preserve"> </w:t>
      </w:r>
    </w:p>
    <w:p w14:paraId="69843DFB" w14:textId="77777777" w:rsidR="00453F43" w:rsidRPr="00453F43" w:rsidRDefault="00453F43" w:rsidP="006A327E">
      <w:pPr>
        <w:spacing w:before="0" w:beforeAutospacing="0" w:after="0" w:afterAutospacing="0"/>
        <w:jc w:val="center"/>
      </w:pPr>
      <w:r w:rsidRPr="00453F43">
        <w:t xml:space="preserve">(Prepared by CIMO Theme Leader- </w:t>
      </w:r>
    </w:p>
    <w:p w14:paraId="114AAF89" w14:textId="77777777" w:rsidR="00453F43" w:rsidRDefault="00453F43" w:rsidP="006A327E">
      <w:pPr>
        <w:spacing w:before="0" w:beforeAutospacing="0" w:after="0" w:afterAutospacing="0"/>
        <w:jc w:val="center"/>
      </w:pPr>
      <w:r w:rsidRPr="00453F43">
        <w:t xml:space="preserve">Radio Frequency </w:t>
      </w:r>
      <w:r>
        <w:t>P</w:t>
      </w:r>
      <w:r w:rsidRPr="00453F43">
        <w:t>rotection</w:t>
      </w:r>
      <w:r>
        <w:t>, TL-RFP</w:t>
      </w:r>
      <w:r w:rsidRPr="00453F43">
        <w:t>)</w:t>
      </w:r>
    </w:p>
    <w:p w14:paraId="793CDD14" w14:textId="77777777" w:rsidR="001552FC" w:rsidRDefault="001552FC" w:rsidP="006A327E">
      <w:pPr>
        <w:spacing w:before="0" w:beforeAutospacing="0" w:after="0" w:afterAutospacing="0"/>
        <w:jc w:val="center"/>
      </w:pPr>
    </w:p>
    <w:p w14:paraId="2EFA3EF4" w14:textId="77777777" w:rsidR="001552FC" w:rsidRPr="00453F43" w:rsidRDefault="004D7DB8" w:rsidP="006A327E">
      <w:pPr>
        <w:spacing w:before="0" w:beforeAutospacing="0" w:after="0" w:afterAutospacing="0"/>
        <w:jc w:val="center"/>
      </w:pPr>
      <w:r>
        <w:rPr>
          <w:b/>
        </w:rPr>
        <w:t xml:space="preserve">TL-RFP </w:t>
      </w:r>
      <w:r w:rsidR="001552FC" w:rsidRPr="001552FC">
        <w:rPr>
          <w:b/>
        </w:rPr>
        <w:t>Contact:</w:t>
      </w:r>
      <w:r w:rsidR="001552FC">
        <w:t xml:space="preserve"> David Franc, dfranc@doc.gov</w:t>
      </w:r>
    </w:p>
    <w:p w14:paraId="514DE5B0" w14:textId="77777777" w:rsidR="006A327E" w:rsidRDefault="006A327E" w:rsidP="006A327E">
      <w:pPr>
        <w:ind w:left="-450"/>
      </w:pPr>
      <w:r w:rsidRPr="00A2789B">
        <w:rPr>
          <w:b/>
        </w:rPr>
        <w:t>Background</w:t>
      </w:r>
    </w:p>
    <w:p w14:paraId="347182FB" w14:textId="77777777" w:rsidR="006A327E" w:rsidRDefault="006A327E" w:rsidP="006A327E">
      <w:pPr>
        <w:ind w:left="-450"/>
      </w:pPr>
      <w:r>
        <w:t xml:space="preserve">At the November 2014 meeting of the WMO Steering Group on Radio Frequency Coordination concern was raised over the possibility that frequency bands available for operation of wind profiler radars could be allocated to the mobile service and/or identified for mobile broadband (IMT) under WRC-15 Agenda Item 1.1.  Discussions about this issue were also held with WMO staff involved with CIMO. </w:t>
      </w:r>
    </w:p>
    <w:p w14:paraId="01BA9C32" w14:textId="77777777" w:rsidR="006A327E" w:rsidRDefault="006A327E" w:rsidP="006A327E">
      <w:pPr>
        <w:ind w:left="-450"/>
      </w:pPr>
      <w:r>
        <w:t xml:space="preserve">This document is for use by the appropriate CIMO Expert Teams to gain a better understanding of the spectrum that is available for wind profiler operation, and any restrictions that may be associated with use of the spectrum.  If any action is required by the WMO SG-RFC or WMO Members, CIMO should provide a long-term strategy for deployment of wind profiler radars so that spectrum spectrum-related </w:t>
      </w:r>
      <w:r w:rsidR="00453F43">
        <w:t xml:space="preserve">regulatory </w:t>
      </w:r>
      <w:r>
        <w:t>actions can be justified.</w:t>
      </w:r>
    </w:p>
    <w:p w14:paraId="6F06E8CD" w14:textId="77777777" w:rsidR="006A327E" w:rsidRDefault="006A327E" w:rsidP="006A327E">
      <w:pPr>
        <w:ind w:left="-450"/>
      </w:pPr>
      <w:r w:rsidRPr="00A2789B">
        <w:rPr>
          <w:b/>
        </w:rPr>
        <w:t>Resolution 217 (WRC-97)</w:t>
      </w:r>
    </w:p>
    <w:p w14:paraId="771DFAFB" w14:textId="77777777" w:rsidR="006A327E" w:rsidRDefault="006A327E" w:rsidP="006A327E">
      <w:pPr>
        <w:ind w:left="-450"/>
      </w:pPr>
      <w:r>
        <w:t xml:space="preserve">The majority of the work in the </w:t>
      </w:r>
      <w:r w:rsidR="001552FC">
        <w:t xml:space="preserve">International Telecommunications Union </w:t>
      </w:r>
      <w:proofErr w:type="spellStart"/>
      <w:r w:rsidR="001552FC">
        <w:t>Radiocommunication</w:t>
      </w:r>
      <w:proofErr w:type="spellEnd"/>
      <w:r w:rsidR="001552FC">
        <w:t xml:space="preserve"> Sector (</w:t>
      </w:r>
      <w:r>
        <w:t>ITU-R</w:t>
      </w:r>
      <w:r w:rsidR="001552FC">
        <w:t>)</w:t>
      </w:r>
      <w:r>
        <w:t xml:space="preserve"> to identify spectrum for wind profiler radars was in the ITU-R study period leading up to </w:t>
      </w:r>
      <w:r w:rsidR="001552FC">
        <w:t xml:space="preserve">the 1997 World </w:t>
      </w:r>
      <w:proofErr w:type="spellStart"/>
      <w:r w:rsidR="001552FC">
        <w:t>Radiocommunication</w:t>
      </w:r>
      <w:proofErr w:type="spellEnd"/>
      <w:r w:rsidR="001552FC">
        <w:t xml:space="preserve"> Conference (</w:t>
      </w:r>
      <w:r>
        <w:t>WRC-97</w:t>
      </w:r>
      <w:r w:rsidR="001552FC">
        <w:t>)</w:t>
      </w:r>
      <w:r>
        <w:t xml:space="preserve"> and during WRC-97.  WRC-97 captured the summary of the ITU-R study work and its decision on wind profiler radar spectrum in </w:t>
      </w:r>
      <w:r w:rsidRPr="001552FC">
        <w:rPr>
          <w:b/>
        </w:rPr>
        <w:t>Resolution 217 (WRC-97)</w:t>
      </w:r>
      <w:r>
        <w:t xml:space="preserve">.  </w:t>
      </w:r>
      <w:r w:rsidRPr="001552FC">
        <w:rPr>
          <w:b/>
        </w:rPr>
        <w:t>Resolution 217</w:t>
      </w:r>
      <w:r>
        <w:t xml:space="preserve"> identified 6 frequency bands as the first choices for operation of wind profiler radars, and two additional frequency bands as alternative choices.  Not all of the frequency bands are available for wind profiler radar use on a global basis.</w:t>
      </w:r>
    </w:p>
    <w:p w14:paraId="54325F5A" w14:textId="77777777" w:rsidR="006A327E" w:rsidRPr="00D6461B" w:rsidRDefault="006A327E" w:rsidP="006A327E">
      <w:pPr>
        <w:ind w:left="-450"/>
        <w:rPr>
          <w:b/>
        </w:rPr>
      </w:pPr>
      <w:r w:rsidRPr="00D6461B">
        <w:rPr>
          <w:b/>
        </w:rPr>
        <w:t>Frequency Bands</w:t>
      </w:r>
    </w:p>
    <w:p w14:paraId="2B80D664" w14:textId="77777777" w:rsidR="006A327E" w:rsidRDefault="006A327E" w:rsidP="006A327E">
      <w:pPr>
        <w:ind w:left="-450"/>
      </w:pPr>
      <w:r w:rsidRPr="001552FC">
        <w:rPr>
          <w:b/>
        </w:rPr>
        <w:t>Resolution 217</w:t>
      </w:r>
      <w:r>
        <w:t xml:space="preserve"> lists 6 frequency bands that may be used for wind profiler radar operations, with due regard to the potential for incompatibility with other radio services and assignments.  Two other frequency bands are also mentioned as alternatives.  It should be noted that wind profiler radars are considered a radio system in the radiolocation service.</w:t>
      </w:r>
    </w:p>
    <w:p w14:paraId="08AD73E0" w14:textId="77777777" w:rsidR="006A327E" w:rsidRDefault="006A327E" w:rsidP="006A327E">
      <w:pPr>
        <w:widowControl w:val="0"/>
        <w:autoSpaceDE w:val="0"/>
        <w:autoSpaceDN w:val="0"/>
        <w:adjustRightInd w:val="0"/>
      </w:pPr>
      <w:r w:rsidRPr="00D6461B">
        <w:rPr>
          <w:u w:val="single"/>
        </w:rPr>
        <w:t>46-68 MHz:</w:t>
      </w:r>
      <w:r>
        <w:t xml:space="preserve"> </w:t>
      </w:r>
    </w:p>
    <w:p w14:paraId="01431F09" w14:textId="77777777" w:rsidR="006A327E" w:rsidRDefault="006A327E" w:rsidP="006A327E">
      <w:pPr>
        <w:widowControl w:val="0"/>
        <w:autoSpaceDE w:val="0"/>
        <w:autoSpaceDN w:val="0"/>
        <w:adjustRightInd w:val="0"/>
      </w:pPr>
      <w:r>
        <w:t xml:space="preserve">This frequency band must be used in accordance with No. </w:t>
      </w:r>
      <w:r w:rsidRPr="00D6461B">
        <w:rPr>
          <w:b/>
        </w:rPr>
        <w:t>5.162A</w:t>
      </w:r>
      <w:r>
        <w:t xml:space="preserve"> of the International Radio Regulations.  No. </w:t>
      </w:r>
      <w:r w:rsidRPr="00D6461B">
        <w:rPr>
          <w:b/>
        </w:rPr>
        <w:t>5.162A</w:t>
      </w:r>
      <w:r>
        <w:t xml:space="preserve"> states that:</w:t>
      </w:r>
    </w:p>
    <w:p w14:paraId="070A5AC3" w14:textId="77777777" w:rsidR="006A327E" w:rsidRDefault="006A327E" w:rsidP="006A327E">
      <w:pPr>
        <w:widowControl w:val="0"/>
        <w:autoSpaceDE w:val="0"/>
        <w:autoSpaceDN w:val="0"/>
        <w:adjustRightInd w:val="0"/>
      </w:pPr>
      <w:r>
        <w:t xml:space="preserve"> “</w:t>
      </w:r>
      <w:r w:rsidRPr="00D6461B">
        <w:rPr>
          <w:i/>
        </w:rPr>
        <w:t>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217 (WRC-97).</w:t>
      </w:r>
      <w:r>
        <w:t>”</w:t>
      </w:r>
    </w:p>
    <w:p w14:paraId="3348B10D" w14:textId="77777777" w:rsidR="006A327E" w:rsidRDefault="006A327E" w:rsidP="006A327E">
      <w:pPr>
        <w:widowControl w:val="0"/>
        <w:autoSpaceDE w:val="0"/>
        <w:autoSpaceDN w:val="0"/>
        <w:adjustRightInd w:val="0"/>
      </w:pPr>
      <w:r>
        <w:t xml:space="preserve">In the countries listed in No. </w:t>
      </w:r>
      <w:r w:rsidRPr="00B00318">
        <w:rPr>
          <w:b/>
        </w:rPr>
        <w:t>5.162A</w:t>
      </w:r>
      <w:r>
        <w:t xml:space="preserve"> wind profiler radars may operate as part of the radiolocation </w:t>
      </w:r>
      <w:r>
        <w:lastRenderedPageBreak/>
        <w:t xml:space="preserve">service with secondary allocation status.  Outside of the countries listed in No. </w:t>
      </w:r>
      <w:r w:rsidRPr="00B00318">
        <w:rPr>
          <w:b/>
        </w:rPr>
        <w:t>5.162A</w:t>
      </w:r>
      <w:r>
        <w:t xml:space="preserve">, no spectrum is available for wind profiler radar operation around 50 </w:t>
      </w:r>
      <w:proofErr w:type="spellStart"/>
      <w:r>
        <w:t>MHz.</w:t>
      </w:r>
      <w:proofErr w:type="spellEnd"/>
      <w:r>
        <w:t xml:space="preserve">  In the listed countries, wind profiler radars may not claim protection or cause harmful interference to radio services allocated on a primary basis.</w:t>
      </w:r>
    </w:p>
    <w:p w14:paraId="06BD0645" w14:textId="77777777" w:rsidR="006A327E" w:rsidRDefault="006A327E" w:rsidP="006A327E">
      <w:pPr>
        <w:widowControl w:val="0"/>
        <w:autoSpaceDE w:val="0"/>
        <w:autoSpaceDN w:val="0"/>
        <w:adjustRightInd w:val="0"/>
        <w:rPr>
          <w:u w:val="single"/>
        </w:rPr>
      </w:pPr>
      <w:r w:rsidRPr="009A454B">
        <w:rPr>
          <w:u w:val="single"/>
        </w:rPr>
        <w:t>440-450 MHz:</w:t>
      </w:r>
    </w:p>
    <w:p w14:paraId="1CA64C4A" w14:textId="77777777" w:rsidR="006A327E" w:rsidRDefault="006A327E" w:rsidP="006A327E">
      <w:pPr>
        <w:widowControl w:val="0"/>
        <w:autoSpaceDE w:val="0"/>
        <w:autoSpaceDN w:val="0"/>
        <w:adjustRightInd w:val="0"/>
      </w:pPr>
      <w:r w:rsidRPr="009A454B">
        <w:t xml:space="preserve">The frequency band </w:t>
      </w:r>
      <w:r>
        <w:t>440-450 MHz is allocated to the radiolocation service on a secondary basis in the International Radio Regulations.  In Australia,</w:t>
      </w:r>
      <w:r w:rsidRPr="009A454B">
        <w:t xml:space="preserve"> United States, Indi</w:t>
      </w:r>
      <w:r>
        <w:t xml:space="preserve">a, Japan and the United Kingdom the allocation to the radiolocation service is on a primary basis under No. </w:t>
      </w:r>
      <w:r w:rsidRPr="005E1FB8">
        <w:rPr>
          <w:b/>
        </w:rPr>
        <w:t>5.269</w:t>
      </w:r>
      <w:r>
        <w:t>.  Wind profiler radars may operate under the secondary and primary allocations to the radiolocation service, as applicable for the country of operation.  In the case where secondary allocations apply, the fixed and mobile services have priority over the radiolocation service, meaning radiolocation may not claim protection from nor cause interference to the fixed and mobile services.</w:t>
      </w:r>
    </w:p>
    <w:p w14:paraId="32C96C17" w14:textId="77777777" w:rsidR="006A327E" w:rsidRPr="009A454B" w:rsidRDefault="006A327E" w:rsidP="006A327E">
      <w:pPr>
        <w:widowControl w:val="0"/>
        <w:autoSpaceDE w:val="0"/>
        <w:autoSpaceDN w:val="0"/>
        <w:adjustRightInd w:val="0"/>
        <w:rPr>
          <w:u w:val="single"/>
        </w:rPr>
      </w:pPr>
      <w:r w:rsidRPr="009A454B">
        <w:rPr>
          <w:u w:val="single"/>
        </w:rPr>
        <w:t>470-494 MHz:</w:t>
      </w:r>
    </w:p>
    <w:p w14:paraId="74448F33" w14:textId="77777777" w:rsidR="006A327E" w:rsidRDefault="006A327E" w:rsidP="006A327E">
      <w:pPr>
        <w:widowControl w:val="0"/>
        <w:autoSpaceDE w:val="0"/>
        <w:autoSpaceDN w:val="0"/>
        <w:adjustRightInd w:val="0"/>
      </w:pPr>
      <w:r>
        <w:t xml:space="preserve">This frequency band must be used in accordance with No. </w:t>
      </w:r>
      <w:r w:rsidRPr="00D6461B">
        <w:rPr>
          <w:b/>
        </w:rPr>
        <w:t>5.</w:t>
      </w:r>
      <w:r>
        <w:rPr>
          <w:b/>
        </w:rPr>
        <w:t>291</w:t>
      </w:r>
      <w:r w:rsidRPr="00D6461B">
        <w:rPr>
          <w:b/>
        </w:rPr>
        <w:t>A</w:t>
      </w:r>
      <w:r>
        <w:t xml:space="preserve"> of the International Radio Regulations.  No. </w:t>
      </w:r>
      <w:r w:rsidRPr="00D6461B">
        <w:rPr>
          <w:b/>
        </w:rPr>
        <w:t>5.</w:t>
      </w:r>
      <w:r>
        <w:rPr>
          <w:b/>
        </w:rPr>
        <w:t>291</w:t>
      </w:r>
      <w:r w:rsidRPr="00D6461B">
        <w:rPr>
          <w:b/>
        </w:rPr>
        <w:t>A</w:t>
      </w:r>
      <w:r>
        <w:t xml:space="preserve"> states that:</w:t>
      </w:r>
    </w:p>
    <w:p w14:paraId="05367BBF" w14:textId="77777777" w:rsidR="006A327E" w:rsidRDefault="006A327E" w:rsidP="006A327E">
      <w:pPr>
        <w:widowControl w:val="0"/>
        <w:autoSpaceDE w:val="0"/>
        <w:autoSpaceDN w:val="0"/>
        <w:adjustRightInd w:val="0"/>
      </w:pPr>
      <w:r>
        <w:t>“</w:t>
      </w:r>
      <w:proofErr w:type="gramStart"/>
      <w:r w:rsidRPr="003C3CB7">
        <w:rPr>
          <w:i/>
        </w:rPr>
        <w:t>in</w:t>
      </w:r>
      <w:proofErr w:type="gramEnd"/>
      <w:r w:rsidRPr="003C3CB7">
        <w:rPr>
          <w:i/>
        </w:rPr>
        <w:t xml:space="preserve"> Germany, Austria, Denmark, Estonia, Finland, Liechtenstein, Norway,</w:t>
      </w:r>
      <w:r>
        <w:rPr>
          <w:i/>
        </w:rPr>
        <w:t xml:space="preserve"> </w:t>
      </w:r>
      <w:r w:rsidRPr="003C3CB7">
        <w:rPr>
          <w:i/>
        </w:rPr>
        <w:t>Netherlands, the Czech Rep. and Switzerland, the band 470-4</w:t>
      </w:r>
      <w:r>
        <w:rPr>
          <w:i/>
        </w:rPr>
        <w:t xml:space="preserve">94 MHz is also allocated to the </w:t>
      </w:r>
      <w:r w:rsidRPr="003C3CB7">
        <w:rPr>
          <w:i/>
        </w:rPr>
        <w:t>radiolocation service on a</w:t>
      </w:r>
      <w:r>
        <w:rPr>
          <w:i/>
        </w:rPr>
        <w:t xml:space="preserve"> </w:t>
      </w:r>
      <w:r w:rsidRPr="003C3CB7">
        <w:rPr>
          <w:i/>
        </w:rPr>
        <w:t>secondary basis. This use is limited to the operation of wind profiler radars in accordance with Resolution 217</w:t>
      </w:r>
      <w:r>
        <w:rPr>
          <w:i/>
        </w:rPr>
        <w:t xml:space="preserve"> </w:t>
      </w:r>
      <w:r w:rsidRPr="003C3CB7">
        <w:rPr>
          <w:i/>
        </w:rPr>
        <w:t>(WRC-97).</w:t>
      </w:r>
      <w:r>
        <w:t>”</w:t>
      </w:r>
    </w:p>
    <w:p w14:paraId="163612F3" w14:textId="77777777" w:rsidR="006A327E" w:rsidRDefault="006A327E" w:rsidP="006A327E">
      <w:pPr>
        <w:widowControl w:val="0"/>
        <w:autoSpaceDE w:val="0"/>
        <w:autoSpaceDN w:val="0"/>
        <w:adjustRightInd w:val="0"/>
      </w:pPr>
      <w:r>
        <w:t xml:space="preserve">In the countries listed in No. </w:t>
      </w:r>
      <w:r w:rsidRPr="00B00318">
        <w:rPr>
          <w:b/>
        </w:rPr>
        <w:t>5.</w:t>
      </w:r>
      <w:r>
        <w:rPr>
          <w:b/>
        </w:rPr>
        <w:t>291</w:t>
      </w:r>
      <w:r w:rsidRPr="00B00318">
        <w:rPr>
          <w:b/>
        </w:rPr>
        <w:t>A</w:t>
      </w:r>
      <w:r>
        <w:t xml:space="preserve"> wind profiler radars may operate as part of the radiolocation service with secondary allocation status.  Outside of the countries listed in No. </w:t>
      </w:r>
      <w:r w:rsidRPr="00B00318">
        <w:rPr>
          <w:b/>
        </w:rPr>
        <w:t>5.</w:t>
      </w:r>
      <w:r>
        <w:rPr>
          <w:b/>
        </w:rPr>
        <w:t>291</w:t>
      </w:r>
      <w:r w:rsidRPr="00B00318">
        <w:rPr>
          <w:b/>
        </w:rPr>
        <w:t>A</w:t>
      </w:r>
      <w:r>
        <w:t>, the frequency band 470-494 MHz is not available for use.</w:t>
      </w:r>
    </w:p>
    <w:p w14:paraId="3381AF79" w14:textId="77777777" w:rsidR="006A327E" w:rsidRDefault="006A327E" w:rsidP="006A327E">
      <w:pPr>
        <w:widowControl w:val="0"/>
        <w:autoSpaceDE w:val="0"/>
        <w:autoSpaceDN w:val="0"/>
        <w:adjustRightInd w:val="0"/>
        <w:rPr>
          <w:u w:val="single"/>
        </w:rPr>
      </w:pPr>
      <w:r w:rsidRPr="0018589B">
        <w:rPr>
          <w:u w:val="single"/>
        </w:rPr>
        <w:t>90</w:t>
      </w:r>
      <w:r>
        <w:rPr>
          <w:u w:val="single"/>
        </w:rPr>
        <w:t>2</w:t>
      </w:r>
      <w:r w:rsidRPr="0018589B">
        <w:rPr>
          <w:u w:val="single"/>
        </w:rPr>
        <w:t>-928 MHz:</w:t>
      </w:r>
    </w:p>
    <w:p w14:paraId="11357B78" w14:textId="77777777" w:rsidR="006A327E" w:rsidRPr="0018589B" w:rsidRDefault="006A327E" w:rsidP="006A327E">
      <w:pPr>
        <w:widowControl w:val="0"/>
        <w:autoSpaceDE w:val="0"/>
        <w:autoSpaceDN w:val="0"/>
        <w:adjustRightInd w:val="0"/>
      </w:pPr>
      <w:r w:rsidRPr="0018589B">
        <w:t>The frequency band 902-928</w:t>
      </w:r>
      <w:r>
        <w:t xml:space="preserve"> is available for wind profiler radar operation in ITU Region 2 (Americas) only.  The allocation to the radiolocation service in ITU Region 2 is on a secondary basis.   The fixed service has a primary allocation in this frequency band and therefore has priority over wind profiler operations.  Wind profiler operations may not claim protection from </w:t>
      </w:r>
      <w:r w:rsidR="004D7DB8">
        <w:t>or</w:t>
      </w:r>
      <w:r>
        <w:t xml:space="preserve"> cause harmful interference to the fixed service.</w:t>
      </w:r>
    </w:p>
    <w:p w14:paraId="4BCE5B26" w14:textId="77777777" w:rsidR="006A327E" w:rsidRDefault="006A327E" w:rsidP="006A327E">
      <w:pPr>
        <w:widowControl w:val="0"/>
        <w:autoSpaceDE w:val="0"/>
        <w:autoSpaceDN w:val="0"/>
        <w:adjustRightInd w:val="0"/>
        <w:rPr>
          <w:u w:val="single"/>
        </w:rPr>
      </w:pPr>
      <w:r w:rsidRPr="00773956">
        <w:rPr>
          <w:u w:val="single"/>
        </w:rPr>
        <w:t>1270-1295 MHz:</w:t>
      </w:r>
    </w:p>
    <w:p w14:paraId="468B8F41" w14:textId="77777777" w:rsidR="006A327E" w:rsidRDefault="006A327E" w:rsidP="006A327E">
      <w:pPr>
        <w:widowControl w:val="0"/>
        <w:autoSpaceDE w:val="0"/>
        <w:autoSpaceDN w:val="0"/>
        <w:adjustRightInd w:val="0"/>
      </w:pPr>
      <w:r>
        <w:t xml:space="preserve">The frequency band 1240 -1300 MHz is allocated to the radiolocation service on a primary basis, and </w:t>
      </w:r>
      <w:r w:rsidRPr="001552FC">
        <w:rPr>
          <w:b/>
        </w:rPr>
        <w:t>Resolution 217</w:t>
      </w:r>
      <w:r>
        <w:t xml:space="preserve"> encourages operation of wind profiler radars in the sub-band 1270- 1295 MHz under the allocation to the radiolocation service.  The radiolocation service allocation is co-primary with the Earth exploration satellite service (active), </w:t>
      </w:r>
      <w:proofErr w:type="spellStart"/>
      <w:r>
        <w:t>radionavigation</w:t>
      </w:r>
      <w:proofErr w:type="spellEnd"/>
      <w:r>
        <w:t xml:space="preserve"> satellite service (space-to-Earth) and (space-to-space) and the space research service (active).  Co-primary status means that wind profiler radars may operate on an equal status with the other co-primary radio services.</w:t>
      </w:r>
    </w:p>
    <w:p w14:paraId="73039145" w14:textId="77777777" w:rsidR="006A327E" w:rsidRPr="00264691" w:rsidRDefault="006A327E" w:rsidP="006A327E">
      <w:pPr>
        <w:widowControl w:val="0"/>
        <w:autoSpaceDE w:val="0"/>
        <w:autoSpaceDN w:val="0"/>
        <w:adjustRightInd w:val="0"/>
        <w:rPr>
          <w:u w:val="single"/>
        </w:rPr>
      </w:pPr>
      <w:r w:rsidRPr="00264691">
        <w:rPr>
          <w:u w:val="single"/>
        </w:rPr>
        <w:t>1300-1375 MHz:</w:t>
      </w:r>
    </w:p>
    <w:p w14:paraId="6AE8EA0B" w14:textId="77777777" w:rsidR="006A327E" w:rsidRDefault="006A327E" w:rsidP="006A327E">
      <w:pPr>
        <w:widowControl w:val="0"/>
        <w:autoSpaceDE w:val="0"/>
        <w:autoSpaceDN w:val="0"/>
        <w:adjustRightInd w:val="0"/>
      </w:pPr>
      <w:r>
        <w:t xml:space="preserve">The frequency bands 1300 – 1350 MHz and 1350 -1400 MHz are allocated on a primary basis to the radiolocation service worldwide.  </w:t>
      </w:r>
      <w:r w:rsidRPr="004D7DB8">
        <w:rPr>
          <w:b/>
        </w:rPr>
        <w:t>Resolution 217</w:t>
      </w:r>
      <w:r>
        <w:t xml:space="preserve"> encourages operation of wind profiler radars in the sub-band 1300-1375 </w:t>
      </w:r>
      <w:proofErr w:type="spellStart"/>
      <w:r>
        <w:t>MHz.</w:t>
      </w:r>
      <w:proofErr w:type="spellEnd"/>
      <w:r>
        <w:t xml:space="preserve">  In the frequency range 1300-1350 MHz the radiolocation service </w:t>
      </w:r>
      <w:r>
        <w:lastRenderedPageBreak/>
        <w:t xml:space="preserve">allocation is co-primary with the aeronautical </w:t>
      </w:r>
      <w:proofErr w:type="spellStart"/>
      <w:r>
        <w:t>radionavigation</w:t>
      </w:r>
      <w:proofErr w:type="spellEnd"/>
      <w:r>
        <w:t xml:space="preserve"> service and the </w:t>
      </w:r>
      <w:proofErr w:type="spellStart"/>
      <w:r>
        <w:t>radionavigation</w:t>
      </w:r>
      <w:proofErr w:type="spellEnd"/>
      <w:r>
        <w:t xml:space="preserve"> satellite service (Earth-to-space).  In the frequency range 1350-1375 MHz the radiolocation service allocation is co-primary with the fixed and mobile services in ITU Region 1 (Europe and Africa).  Co-primary status means that wind profiler radars may operate on an equal status with the other co-primary radio services.</w:t>
      </w:r>
    </w:p>
    <w:p w14:paraId="04678A15" w14:textId="77777777" w:rsidR="006A327E" w:rsidRPr="00F81F06" w:rsidRDefault="006A327E" w:rsidP="006A327E">
      <w:pPr>
        <w:widowControl w:val="0"/>
        <w:autoSpaceDE w:val="0"/>
        <w:autoSpaceDN w:val="0"/>
        <w:adjustRightInd w:val="0"/>
      </w:pPr>
      <w:r w:rsidRPr="00F81F06">
        <w:t>Other Frequency Bands:</w:t>
      </w:r>
    </w:p>
    <w:p w14:paraId="1328F244" w14:textId="77777777" w:rsidR="006A327E" w:rsidRDefault="006A327E" w:rsidP="006A327E">
      <w:pPr>
        <w:widowControl w:val="0"/>
        <w:autoSpaceDE w:val="0"/>
        <w:autoSpaceDN w:val="0"/>
        <w:adjustRightInd w:val="0"/>
        <w:rPr>
          <w:u w:val="single"/>
        </w:rPr>
      </w:pPr>
      <w:r w:rsidRPr="001D50C6">
        <w:rPr>
          <w:u w:val="single"/>
        </w:rPr>
        <w:t>420-435 MHz</w:t>
      </w:r>
      <w:r w:rsidRPr="007F1592">
        <w:t>:</w:t>
      </w:r>
      <w:r w:rsidRPr="001D50C6">
        <w:rPr>
          <w:u w:val="single"/>
        </w:rPr>
        <w:t xml:space="preserve"> </w:t>
      </w:r>
    </w:p>
    <w:p w14:paraId="24E2DBBE" w14:textId="77777777" w:rsidR="006A327E" w:rsidRDefault="006A327E" w:rsidP="006A327E">
      <w:pPr>
        <w:widowControl w:val="0"/>
        <w:autoSpaceDE w:val="0"/>
        <w:autoSpaceDN w:val="0"/>
        <w:adjustRightInd w:val="0"/>
      </w:pPr>
      <w:r>
        <w:t xml:space="preserve">This frequency range is indicated in </w:t>
      </w:r>
      <w:r w:rsidRPr="004D7DB8">
        <w:rPr>
          <w:b/>
        </w:rPr>
        <w:t>Resolution 217</w:t>
      </w:r>
      <w:r>
        <w:t xml:space="preserve"> as an alternative band to be considered for wind profiler radar operation in the event that compatibility issues with other radio applications exist in the frequency bands 440-450 MHz and 470-494 </w:t>
      </w:r>
      <w:proofErr w:type="spellStart"/>
      <w:r>
        <w:t>MHz.</w:t>
      </w:r>
      <w:proofErr w:type="spellEnd"/>
      <w:r>
        <w:t xml:space="preserve">   The frequency range 420-430 MHz is allocated to the radiolocation service on a secondary basis, with the fixed and mobile services holding priority over the radiolocation service. The frequency range 430- 435 MHz is allocated to the radiolocation service on a primary basis, with the amateur service holding a co-primary allocation in ITU Region 1</w:t>
      </w:r>
      <w:r w:rsidR="004D7DB8">
        <w:t xml:space="preserve"> (Europe and Africa)</w:t>
      </w:r>
      <w:r>
        <w:t xml:space="preserve"> only.</w:t>
      </w:r>
    </w:p>
    <w:p w14:paraId="2E14D4FA" w14:textId="77777777" w:rsidR="006A327E" w:rsidRDefault="006A327E" w:rsidP="006A327E">
      <w:pPr>
        <w:widowControl w:val="0"/>
        <w:autoSpaceDE w:val="0"/>
        <w:autoSpaceDN w:val="0"/>
        <w:adjustRightInd w:val="0"/>
      </w:pPr>
      <w:r>
        <w:t xml:space="preserve">It should be noted that No. </w:t>
      </w:r>
      <w:r w:rsidRPr="001F531B">
        <w:rPr>
          <w:b/>
        </w:rPr>
        <w:t>5.276</w:t>
      </w:r>
      <w:r>
        <w:t xml:space="preserve"> provides additions primary allocations to the fixed and mobile services in some countries: </w:t>
      </w:r>
    </w:p>
    <w:p w14:paraId="703B4333" w14:textId="77777777" w:rsidR="006A327E" w:rsidRPr="007F1592" w:rsidRDefault="006A327E" w:rsidP="006A327E">
      <w:pPr>
        <w:widowControl w:val="0"/>
        <w:autoSpaceDE w:val="0"/>
        <w:autoSpaceDN w:val="0"/>
        <w:adjustRightInd w:val="0"/>
        <w:rPr>
          <w:i/>
        </w:rPr>
      </w:pPr>
      <w:r>
        <w:t>“</w:t>
      </w:r>
      <w:proofErr w:type="gramStart"/>
      <w:r w:rsidRPr="007F1592">
        <w:rPr>
          <w:i/>
        </w:rPr>
        <w:t>in</w:t>
      </w:r>
      <w:proofErr w:type="gramEnd"/>
      <w:r w:rsidRPr="007F1592">
        <w:rPr>
          <w:i/>
        </w:rPr>
        <w:t xml:space="preserve"> Afghanistan, Algeria, Saudi Arabia, Bahrain, Bangladesh, Brunei Darussalam,</w:t>
      </w:r>
    </w:p>
    <w:p w14:paraId="2C8DE733" w14:textId="77777777" w:rsidR="006A327E" w:rsidRDefault="006A327E" w:rsidP="006A327E">
      <w:pPr>
        <w:widowControl w:val="0"/>
        <w:autoSpaceDE w:val="0"/>
        <w:autoSpaceDN w:val="0"/>
        <w:adjustRightInd w:val="0"/>
      </w:pPr>
      <w:r w:rsidRPr="007F1592">
        <w:rPr>
          <w:i/>
        </w:rPr>
        <w:t>Burkina Faso, Djibouti, Egypt, the United Arab Emirates, Ecuador, Eritrea, Ethiopia, Greece, Guinea, India, Indonesia, Iran (Islamic Republic of), Iraq, Israel, Italy, Jordan, Kenya, Kuwait, Libya, Malaysia, Niger, Nigeria, Oman, Pakistan, the Philippines, Qatar, the Syrian Arab Republic, the Dem. People’s Rep. of Korea, Singapore, Somalia, Sudan, Switzerland, Tanzania, Thailand, Togo, Turkey and Yemen, the band 430-440 MHz is also allocated to the fixed service on a primary basis and the bands 430-435 MHz and 438-440 MHz are also allocated to the mobile, except aeronautical mobile, service on a primary basis</w:t>
      </w:r>
      <w:r w:rsidRPr="007F1592">
        <w:t>.</w:t>
      </w:r>
      <w:r>
        <w:t>”</w:t>
      </w:r>
    </w:p>
    <w:p w14:paraId="5AEB6A1D" w14:textId="77777777" w:rsidR="006A327E" w:rsidRDefault="006A327E" w:rsidP="006A327E">
      <w:pPr>
        <w:widowControl w:val="0"/>
        <w:autoSpaceDE w:val="0"/>
        <w:autoSpaceDN w:val="0"/>
        <w:adjustRightInd w:val="0"/>
      </w:pPr>
      <w:r>
        <w:t>These additional allocations by footnote to the fixed and mobile services could limit use of the frequency bands for wind profiler radars in some countries.</w:t>
      </w:r>
    </w:p>
    <w:p w14:paraId="1452CB88" w14:textId="77777777" w:rsidR="006A327E" w:rsidRDefault="006A327E" w:rsidP="006A327E">
      <w:pPr>
        <w:widowControl w:val="0"/>
        <w:autoSpaceDE w:val="0"/>
        <w:autoSpaceDN w:val="0"/>
        <w:adjustRightInd w:val="0"/>
      </w:pPr>
      <w:r w:rsidRPr="007F1592">
        <w:rPr>
          <w:u w:val="single"/>
        </w:rPr>
        <w:t>438-440 MHz</w:t>
      </w:r>
      <w:r>
        <w:t>:</w:t>
      </w:r>
    </w:p>
    <w:p w14:paraId="4756D096" w14:textId="77777777" w:rsidR="006A327E" w:rsidRDefault="006A327E" w:rsidP="006A327E">
      <w:pPr>
        <w:widowControl w:val="0"/>
        <w:autoSpaceDE w:val="0"/>
        <w:autoSpaceDN w:val="0"/>
        <w:adjustRightInd w:val="0"/>
      </w:pPr>
      <w:r>
        <w:t xml:space="preserve">This frequency range is indicated in </w:t>
      </w:r>
      <w:r w:rsidRPr="004D7DB8">
        <w:rPr>
          <w:b/>
        </w:rPr>
        <w:t>Resolution 217</w:t>
      </w:r>
      <w:r>
        <w:t xml:space="preserve"> as an alternative band to be considered for wind profiler radar operation in the event that compatibility issues with other radio applications exist in the frequency bands 440-450 MHz and 470-494 </w:t>
      </w:r>
      <w:proofErr w:type="spellStart"/>
      <w:r>
        <w:t>MHz.</w:t>
      </w:r>
      <w:proofErr w:type="spellEnd"/>
      <w:r>
        <w:t xml:space="preserve">   The frequency range 438-440 MHz is allocated to the radiolocation service on a primary basis, with the amateur service holding a co-primary allocation in ITU Region 1</w:t>
      </w:r>
      <w:r w:rsidR="004D7DB8">
        <w:t xml:space="preserve"> (Europe and Africa)</w:t>
      </w:r>
      <w:r>
        <w:t xml:space="preserve"> only.</w:t>
      </w:r>
    </w:p>
    <w:p w14:paraId="688CDC76" w14:textId="77777777" w:rsidR="006A327E" w:rsidRDefault="006A327E" w:rsidP="006A327E">
      <w:pPr>
        <w:widowControl w:val="0"/>
        <w:autoSpaceDE w:val="0"/>
        <w:autoSpaceDN w:val="0"/>
        <w:adjustRightInd w:val="0"/>
      </w:pPr>
      <w:r>
        <w:t xml:space="preserve">It should be noted that No. </w:t>
      </w:r>
      <w:r w:rsidRPr="001F531B">
        <w:rPr>
          <w:b/>
        </w:rPr>
        <w:t>5.276</w:t>
      </w:r>
      <w:r>
        <w:t xml:space="preserve"> provides additions primary allocations to the mobile service in some countries: </w:t>
      </w:r>
    </w:p>
    <w:p w14:paraId="7EF29020" w14:textId="77777777" w:rsidR="006A327E" w:rsidRPr="007F1592" w:rsidRDefault="006A327E" w:rsidP="006A327E">
      <w:pPr>
        <w:widowControl w:val="0"/>
        <w:autoSpaceDE w:val="0"/>
        <w:autoSpaceDN w:val="0"/>
        <w:adjustRightInd w:val="0"/>
        <w:rPr>
          <w:i/>
        </w:rPr>
      </w:pPr>
      <w:r>
        <w:t>“</w:t>
      </w:r>
      <w:proofErr w:type="gramStart"/>
      <w:r w:rsidRPr="007F1592">
        <w:rPr>
          <w:i/>
        </w:rPr>
        <w:t>in</w:t>
      </w:r>
      <w:proofErr w:type="gramEnd"/>
      <w:r w:rsidRPr="007F1592">
        <w:rPr>
          <w:i/>
        </w:rPr>
        <w:t xml:space="preserve"> Afghanistan, Algeria, Saudi Arabia, Bahrain, Bangladesh, Brunei Darussalam,</w:t>
      </w:r>
    </w:p>
    <w:p w14:paraId="3A902618" w14:textId="77777777" w:rsidR="006A327E" w:rsidRDefault="006A327E" w:rsidP="006A327E">
      <w:pPr>
        <w:widowControl w:val="0"/>
        <w:autoSpaceDE w:val="0"/>
        <w:autoSpaceDN w:val="0"/>
        <w:adjustRightInd w:val="0"/>
      </w:pPr>
      <w:r w:rsidRPr="007F1592">
        <w:rPr>
          <w:i/>
        </w:rPr>
        <w:t xml:space="preserve">Burkina Faso, Djibouti, Egypt, the United Arab Emirates, Ecuador, Eritrea, Ethiopia, Greece, Guinea, India, Indonesia, Iran (Islamic Republic of), Iraq, Israel, Italy, Jordan, Kenya, Kuwait, Libya, Malaysia, Niger, Nigeria, Oman, Pakistan, the Philippines, Qatar, the Syrian Arab Republic, the Dem. People’s Rep. of Korea, Singapore, Somalia, Sudan, Switzerland, Tanzania, Thailand, </w:t>
      </w:r>
      <w:r w:rsidRPr="007F1592">
        <w:rPr>
          <w:i/>
        </w:rPr>
        <w:lastRenderedPageBreak/>
        <w:t>Togo, Turkey and Yemen, the band 430-440 MHz is also allocated to the fixed service on a primary basis and the bands 430-435 MHz and 438-440 MHz are also allocated to the mobile, except aeronautical mobile, service on a primary basis</w:t>
      </w:r>
      <w:r w:rsidRPr="007F1592">
        <w:t>.</w:t>
      </w:r>
      <w:r>
        <w:t>”</w:t>
      </w:r>
    </w:p>
    <w:p w14:paraId="471233F8" w14:textId="77777777" w:rsidR="006A327E" w:rsidRDefault="006A327E" w:rsidP="006A327E">
      <w:pPr>
        <w:widowControl w:val="0"/>
        <w:autoSpaceDE w:val="0"/>
        <w:autoSpaceDN w:val="0"/>
        <w:adjustRightInd w:val="0"/>
      </w:pPr>
      <w:r>
        <w:t>These additional allocations by footnote to the mobile service could limit use of the frequency bands for wind profiler radars in some countries.</w:t>
      </w:r>
    </w:p>
    <w:p w14:paraId="2060955A" w14:textId="77777777" w:rsidR="006A327E" w:rsidRDefault="006A327E" w:rsidP="006A327E">
      <w:pPr>
        <w:widowControl w:val="0"/>
        <w:autoSpaceDE w:val="0"/>
        <w:autoSpaceDN w:val="0"/>
        <w:adjustRightInd w:val="0"/>
      </w:pPr>
    </w:p>
    <w:p w14:paraId="344E5285" w14:textId="77777777" w:rsidR="006A327E" w:rsidRDefault="006A327E" w:rsidP="006A327E">
      <w:pPr>
        <w:widowControl w:val="0"/>
        <w:autoSpaceDE w:val="0"/>
        <w:autoSpaceDN w:val="0"/>
        <w:adjustRightInd w:val="0"/>
        <w:ind w:left="-450"/>
        <w:rPr>
          <w:b/>
        </w:rPr>
      </w:pPr>
      <w:r>
        <w:rPr>
          <w:b/>
        </w:rPr>
        <w:t xml:space="preserve">Summary </w:t>
      </w:r>
    </w:p>
    <w:p w14:paraId="3BC09454" w14:textId="77777777" w:rsidR="006A327E" w:rsidRDefault="006A327E" w:rsidP="006A327E">
      <w:pPr>
        <w:widowControl w:val="0"/>
        <w:autoSpaceDE w:val="0"/>
        <w:autoSpaceDN w:val="0"/>
        <w:adjustRightInd w:val="0"/>
        <w:ind w:left="-450"/>
      </w:pPr>
      <w:r>
        <w:t xml:space="preserve">Review </w:t>
      </w:r>
      <w:r w:rsidR="00F03028">
        <w:t>o</w:t>
      </w:r>
      <w:r>
        <w:t>f the spectrum available for wind profiler radar operations shows that a variety of frequency bands are available around the world, some on a primary basis and some on a secondary basis.  In addition, globally available bands are not common.  The review of frequency bands does not take into account national allocations and regulations that could vary from country to country.</w:t>
      </w:r>
    </w:p>
    <w:p w14:paraId="66073673" w14:textId="77777777" w:rsidR="006A327E" w:rsidRDefault="006A327E" w:rsidP="006A327E">
      <w:pPr>
        <w:widowControl w:val="0"/>
        <w:autoSpaceDE w:val="0"/>
        <w:autoSpaceDN w:val="0"/>
        <w:adjustRightInd w:val="0"/>
        <w:ind w:left="-450"/>
      </w:pPr>
      <w:r>
        <w:t>Frequency allocation decisions made at a WRC are typically based on technical studies that analyze the impact that the proposed new radio service may have on operation of incumbent radio services holding primary allocations in the frequency band.  It is the results of the studies conducted prior to WRC-97 that lead to a variety of frequency bands, some of which are allocated to the radiolocation service on a secondary basis.  Some of the radiolocation service allocations already existed, and WRC-97 simply concluded that the spectrum in those allocated bands was suitable for wind profiler radar operation.  For new allocations, it is uncommon to find spectrum where restrictions are not placed on the new radio service, requiring the new radio service to take measures to coexist with incumbent radio services.  For this reason, some frequency bands available for wind profiler radar operation are limited to specified geographic areas, and some frequency bands are available for use under a secondary allocation status.</w:t>
      </w:r>
    </w:p>
    <w:p w14:paraId="3DC0D51C" w14:textId="77777777" w:rsidR="006A327E" w:rsidRDefault="006A327E" w:rsidP="006A327E">
      <w:pPr>
        <w:widowControl w:val="0"/>
        <w:autoSpaceDE w:val="0"/>
        <w:autoSpaceDN w:val="0"/>
        <w:adjustRightInd w:val="0"/>
        <w:ind w:left="-450"/>
      </w:pPr>
    </w:p>
    <w:p w14:paraId="29BC6C43" w14:textId="77777777" w:rsidR="006A327E" w:rsidRDefault="006A327E" w:rsidP="006A327E">
      <w:r>
        <w:br w:type="page"/>
      </w:r>
    </w:p>
    <w:tbl>
      <w:tblPr>
        <w:tblStyle w:val="TableGrid"/>
        <w:tblW w:w="9828" w:type="dxa"/>
        <w:tblInd w:w="-450" w:type="dxa"/>
        <w:tblLook w:val="04A0" w:firstRow="1" w:lastRow="0" w:firstColumn="1" w:lastColumn="0" w:noHBand="0" w:noVBand="1"/>
      </w:tblPr>
      <w:tblGrid>
        <w:gridCol w:w="2214"/>
        <w:gridCol w:w="2214"/>
        <w:gridCol w:w="2214"/>
        <w:gridCol w:w="3186"/>
      </w:tblGrid>
      <w:tr w:rsidR="006A327E" w14:paraId="4CBE3852" w14:textId="77777777" w:rsidTr="006A327E">
        <w:tc>
          <w:tcPr>
            <w:tcW w:w="9828" w:type="dxa"/>
            <w:gridSpan w:val="4"/>
          </w:tcPr>
          <w:p w14:paraId="3C921F0E" w14:textId="77777777" w:rsidR="006A327E" w:rsidRPr="004418AE" w:rsidRDefault="006A327E" w:rsidP="006A327E">
            <w:pPr>
              <w:widowControl w:val="0"/>
              <w:autoSpaceDE w:val="0"/>
              <w:autoSpaceDN w:val="0"/>
              <w:adjustRightInd w:val="0"/>
              <w:ind w:left="-450"/>
              <w:jc w:val="center"/>
              <w:rPr>
                <w:b/>
              </w:rPr>
            </w:pPr>
            <w:r w:rsidRPr="004418AE">
              <w:rPr>
                <w:b/>
              </w:rPr>
              <w:lastRenderedPageBreak/>
              <w:t>Table Summarizing Spectrum Available for Wind Profiler Radar Operations</w:t>
            </w:r>
          </w:p>
        </w:tc>
      </w:tr>
      <w:tr w:rsidR="006A327E" w14:paraId="79EC4A6B" w14:textId="77777777" w:rsidTr="006A327E">
        <w:tc>
          <w:tcPr>
            <w:tcW w:w="2214" w:type="dxa"/>
          </w:tcPr>
          <w:p w14:paraId="388392A2" w14:textId="77777777" w:rsidR="006A327E" w:rsidRPr="00C9524D" w:rsidRDefault="006A327E" w:rsidP="006A327E">
            <w:pPr>
              <w:widowControl w:val="0"/>
              <w:autoSpaceDE w:val="0"/>
              <w:autoSpaceDN w:val="0"/>
              <w:adjustRightInd w:val="0"/>
              <w:jc w:val="center"/>
              <w:rPr>
                <w:b/>
              </w:rPr>
            </w:pPr>
            <w:r w:rsidRPr="00C9524D">
              <w:rPr>
                <w:b/>
              </w:rPr>
              <w:t>Frequency Range</w:t>
            </w:r>
          </w:p>
        </w:tc>
        <w:tc>
          <w:tcPr>
            <w:tcW w:w="2214" w:type="dxa"/>
          </w:tcPr>
          <w:p w14:paraId="2A9D1975" w14:textId="77777777" w:rsidR="006A327E" w:rsidRPr="00C9524D" w:rsidRDefault="006A327E" w:rsidP="006A327E">
            <w:pPr>
              <w:widowControl w:val="0"/>
              <w:autoSpaceDE w:val="0"/>
              <w:autoSpaceDN w:val="0"/>
              <w:adjustRightInd w:val="0"/>
              <w:jc w:val="center"/>
              <w:rPr>
                <w:b/>
              </w:rPr>
            </w:pPr>
            <w:r w:rsidRPr="00C9524D">
              <w:rPr>
                <w:b/>
              </w:rPr>
              <w:t>Allocation</w:t>
            </w:r>
          </w:p>
        </w:tc>
        <w:tc>
          <w:tcPr>
            <w:tcW w:w="2214" w:type="dxa"/>
          </w:tcPr>
          <w:p w14:paraId="67E677B7" w14:textId="77777777" w:rsidR="006A327E" w:rsidRPr="00C9524D" w:rsidRDefault="006A327E" w:rsidP="006A327E">
            <w:pPr>
              <w:widowControl w:val="0"/>
              <w:autoSpaceDE w:val="0"/>
              <w:autoSpaceDN w:val="0"/>
              <w:adjustRightInd w:val="0"/>
              <w:jc w:val="center"/>
              <w:rPr>
                <w:b/>
              </w:rPr>
            </w:pPr>
            <w:r w:rsidRPr="00C9524D">
              <w:rPr>
                <w:b/>
              </w:rPr>
              <w:t>Applicability</w:t>
            </w:r>
          </w:p>
        </w:tc>
        <w:tc>
          <w:tcPr>
            <w:tcW w:w="3186" w:type="dxa"/>
          </w:tcPr>
          <w:p w14:paraId="0F8B9BFF" w14:textId="77777777" w:rsidR="006A327E" w:rsidRPr="00C9524D" w:rsidRDefault="006A327E" w:rsidP="006A327E">
            <w:pPr>
              <w:widowControl w:val="0"/>
              <w:autoSpaceDE w:val="0"/>
              <w:autoSpaceDN w:val="0"/>
              <w:adjustRightInd w:val="0"/>
              <w:jc w:val="center"/>
              <w:rPr>
                <w:b/>
              </w:rPr>
            </w:pPr>
            <w:r w:rsidRPr="00C9524D">
              <w:rPr>
                <w:b/>
              </w:rPr>
              <w:t>Comment</w:t>
            </w:r>
          </w:p>
        </w:tc>
      </w:tr>
      <w:tr w:rsidR="006A327E" w14:paraId="58D85EBB" w14:textId="77777777" w:rsidTr="006A327E">
        <w:tc>
          <w:tcPr>
            <w:tcW w:w="2214" w:type="dxa"/>
            <w:vMerge w:val="restart"/>
          </w:tcPr>
          <w:p w14:paraId="78EFE154" w14:textId="77777777" w:rsidR="006A327E" w:rsidRDefault="006A327E" w:rsidP="006A327E">
            <w:pPr>
              <w:widowControl w:val="0"/>
              <w:autoSpaceDE w:val="0"/>
              <w:autoSpaceDN w:val="0"/>
              <w:adjustRightInd w:val="0"/>
              <w:jc w:val="center"/>
            </w:pPr>
          </w:p>
          <w:p w14:paraId="25A45A77" w14:textId="77777777" w:rsidR="006A327E" w:rsidRDefault="006A327E" w:rsidP="006A327E">
            <w:pPr>
              <w:widowControl w:val="0"/>
              <w:autoSpaceDE w:val="0"/>
              <w:autoSpaceDN w:val="0"/>
              <w:adjustRightInd w:val="0"/>
              <w:jc w:val="center"/>
            </w:pPr>
            <w:r>
              <w:t>46-68 MHz</w:t>
            </w:r>
          </w:p>
        </w:tc>
        <w:tc>
          <w:tcPr>
            <w:tcW w:w="2214" w:type="dxa"/>
          </w:tcPr>
          <w:p w14:paraId="2D2F3FF4" w14:textId="77777777" w:rsidR="006A327E" w:rsidRDefault="006A327E" w:rsidP="006A327E">
            <w:pPr>
              <w:widowControl w:val="0"/>
              <w:autoSpaceDE w:val="0"/>
              <w:autoSpaceDN w:val="0"/>
              <w:adjustRightInd w:val="0"/>
              <w:jc w:val="center"/>
            </w:pPr>
          </w:p>
          <w:p w14:paraId="08B53A60" w14:textId="77777777" w:rsidR="006A327E" w:rsidRDefault="006A327E" w:rsidP="006A327E">
            <w:pPr>
              <w:widowControl w:val="0"/>
              <w:autoSpaceDE w:val="0"/>
              <w:autoSpaceDN w:val="0"/>
              <w:adjustRightInd w:val="0"/>
              <w:jc w:val="center"/>
            </w:pPr>
            <w:r>
              <w:t>Secondary</w:t>
            </w:r>
          </w:p>
        </w:tc>
        <w:tc>
          <w:tcPr>
            <w:tcW w:w="2214" w:type="dxa"/>
          </w:tcPr>
          <w:p w14:paraId="2B8D3A56" w14:textId="77777777" w:rsidR="006A327E" w:rsidRDefault="006A327E" w:rsidP="006A327E">
            <w:pPr>
              <w:widowControl w:val="0"/>
              <w:autoSpaceDE w:val="0"/>
              <w:autoSpaceDN w:val="0"/>
              <w:adjustRightInd w:val="0"/>
              <w:jc w:val="center"/>
            </w:pPr>
            <w:r>
              <w:t xml:space="preserve">32 countries in ITU Region 1 listed in No. </w:t>
            </w:r>
            <w:r w:rsidRPr="00D6461B">
              <w:rPr>
                <w:b/>
              </w:rPr>
              <w:t>5.162A</w:t>
            </w:r>
          </w:p>
        </w:tc>
        <w:tc>
          <w:tcPr>
            <w:tcW w:w="3186" w:type="dxa"/>
            <w:vMerge w:val="restart"/>
          </w:tcPr>
          <w:p w14:paraId="6403B754" w14:textId="77777777" w:rsidR="006A327E" w:rsidRDefault="006A327E" w:rsidP="006A327E">
            <w:pPr>
              <w:widowControl w:val="0"/>
              <w:autoSpaceDE w:val="0"/>
              <w:autoSpaceDN w:val="0"/>
              <w:adjustRightInd w:val="0"/>
              <w:jc w:val="center"/>
            </w:pPr>
          </w:p>
          <w:p w14:paraId="7D9CF34B" w14:textId="77777777" w:rsidR="006A327E" w:rsidRDefault="006A327E" w:rsidP="006A327E">
            <w:pPr>
              <w:widowControl w:val="0"/>
              <w:autoSpaceDE w:val="0"/>
              <w:autoSpaceDN w:val="0"/>
              <w:adjustRightInd w:val="0"/>
              <w:jc w:val="center"/>
            </w:pPr>
            <w:r>
              <w:t>N/A</w:t>
            </w:r>
          </w:p>
          <w:p w14:paraId="092E8607" w14:textId="77777777" w:rsidR="006A327E" w:rsidRDefault="006A327E" w:rsidP="006A327E">
            <w:pPr>
              <w:widowControl w:val="0"/>
              <w:autoSpaceDE w:val="0"/>
              <w:autoSpaceDN w:val="0"/>
              <w:adjustRightInd w:val="0"/>
              <w:jc w:val="center"/>
            </w:pPr>
          </w:p>
        </w:tc>
      </w:tr>
      <w:tr w:rsidR="006A327E" w14:paraId="57B4949C" w14:textId="77777777" w:rsidTr="006A327E">
        <w:tc>
          <w:tcPr>
            <w:tcW w:w="2214" w:type="dxa"/>
            <w:vMerge/>
          </w:tcPr>
          <w:p w14:paraId="7FB721DE" w14:textId="77777777" w:rsidR="006A327E" w:rsidRDefault="006A327E" w:rsidP="006A327E">
            <w:pPr>
              <w:widowControl w:val="0"/>
              <w:autoSpaceDE w:val="0"/>
              <w:autoSpaceDN w:val="0"/>
              <w:adjustRightInd w:val="0"/>
              <w:jc w:val="center"/>
            </w:pPr>
          </w:p>
        </w:tc>
        <w:tc>
          <w:tcPr>
            <w:tcW w:w="2214" w:type="dxa"/>
          </w:tcPr>
          <w:p w14:paraId="2F9B3E1B" w14:textId="77777777" w:rsidR="006A327E" w:rsidRDefault="006A327E" w:rsidP="006A327E">
            <w:pPr>
              <w:widowControl w:val="0"/>
              <w:autoSpaceDE w:val="0"/>
              <w:autoSpaceDN w:val="0"/>
              <w:adjustRightInd w:val="0"/>
              <w:jc w:val="center"/>
            </w:pPr>
            <w:r>
              <w:t>None</w:t>
            </w:r>
          </w:p>
        </w:tc>
        <w:tc>
          <w:tcPr>
            <w:tcW w:w="2214" w:type="dxa"/>
          </w:tcPr>
          <w:p w14:paraId="71AA6068" w14:textId="77777777" w:rsidR="006A327E" w:rsidRDefault="006A327E" w:rsidP="006A327E">
            <w:pPr>
              <w:widowControl w:val="0"/>
              <w:autoSpaceDE w:val="0"/>
              <w:autoSpaceDN w:val="0"/>
              <w:adjustRightInd w:val="0"/>
              <w:jc w:val="center"/>
            </w:pPr>
            <w:r>
              <w:t>Elsewhere</w:t>
            </w:r>
          </w:p>
        </w:tc>
        <w:tc>
          <w:tcPr>
            <w:tcW w:w="3186" w:type="dxa"/>
            <w:vMerge/>
          </w:tcPr>
          <w:p w14:paraId="30416460" w14:textId="77777777" w:rsidR="006A327E" w:rsidRDefault="006A327E" w:rsidP="006A327E">
            <w:pPr>
              <w:widowControl w:val="0"/>
              <w:autoSpaceDE w:val="0"/>
              <w:autoSpaceDN w:val="0"/>
              <w:adjustRightInd w:val="0"/>
              <w:jc w:val="center"/>
            </w:pPr>
          </w:p>
        </w:tc>
      </w:tr>
      <w:tr w:rsidR="006A327E" w14:paraId="7553E225" w14:textId="77777777" w:rsidTr="006A327E">
        <w:tc>
          <w:tcPr>
            <w:tcW w:w="2214" w:type="dxa"/>
            <w:vMerge w:val="restart"/>
          </w:tcPr>
          <w:p w14:paraId="45B6076D" w14:textId="77777777" w:rsidR="006A327E" w:rsidRDefault="006A327E" w:rsidP="006A327E">
            <w:pPr>
              <w:widowControl w:val="0"/>
              <w:autoSpaceDE w:val="0"/>
              <w:autoSpaceDN w:val="0"/>
              <w:adjustRightInd w:val="0"/>
              <w:jc w:val="center"/>
            </w:pPr>
            <w:r>
              <w:t>440-450 MHz</w:t>
            </w:r>
          </w:p>
        </w:tc>
        <w:tc>
          <w:tcPr>
            <w:tcW w:w="2214" w:type="dxa"/>
          </w:tcPr>
          <w:p w14:paraId="7347C9DE" w14:textId="77777777" w:rsidR="006A327E" w:rsidRDefault="006A327E" w:rsidP="006A327E">
            <w:pPr>
              <w:widowControl w:val="0"/>
              <w:autoSpaceDE w:val="0"/>
              <w:autoSpaceDN w:val="0"/>
              <w:adjustRightInd w:val="0"/>
              <w:jc w:val="center"/>
            </w:pPr>
            <w:r>
              <w:t>Primary</w:t>
            </w:r>
          </w:p>
        </w:tc>
        <w:tc>
          <w:tcPr>
            <w:tcW w:w="2214" w:type="dxa"/>
          </w:tcPr>
          <w:p w14:paraId="241851B8" w14:textId="77777777" w:rsidR="006A327E" w:rsidRDefault="006A327E" w:rsidP="006A327E">
            <w:pPr>
              <w:widowControl w:val="0"/>
              <w:autoSpaceDE w:val="0"/>
              <w:autoSpaceDN w:val="0"/>
              <w:adjustRightInd w:val="0"/>
              <w:jc w:val="center"/>
            </w:pPr>
            <w:r>
              <w:t xml:space="preserve">5 countries listed in No. </w:t>
            </w:r>
            <w:r w:rsidRPr="005E1FB8">
              <w:rPr>
                <w:b/>
              </w:rPr>
              <w:t>5.269</w:t>
            </w:r>
          </w:p>
        </w:tc>
        <w:tc>
          <w:tcPr>
            <w:tcW w:w="3186" w:type="dxa"/>
            <w:vMerge w:val="restart"/>
          </w:tcPr>
          <w:p w14:paraId="5403D449" w14:textId="77777777" w:rsidR="006A327E" w:rsidRDefault="006A327E" w:rsidP="006A327E">
            <w:pPr>
              <w:widowControl w:val="0"/>
              <w:autoSpaceDE w:val="0"/>
              <w:autoSpaceDN w:val="0"/>
              <w:adjustRightInd w:val="0"/>
              <w:jc w:val="center"/>
            </w:pPr>
          </w:p>
          <w:p w14:paraId="31F3E98F" w14:textId="77777777" w:rsidR="006A327E" w:rsidRDefault="006A327E" w:rsidP="006A327E">
            <w:pPr>
              <w:widowControl w:val="0"/>
              <w:autoSpaceDE w:val="0"/>
              <w:autoSpaceDN w:val="0"/>
              <w:adjustRightInd w:val="0"/>
              <w:jc w:val="center"/>
            </w:pPr>
            <w:r>
              <w:t>N/A</w:t>
            </w:r>
          </w:p>
        </w:tc>
      </w:tr>
      <w:tr w:rsidR="006A327E" w14:paraId="30856760" w14:textId="77777777" w:rsidTr="006A327E">
        <w:tc>
          <w:tcPr>
            <w:tcW w:w="2214" w:type="dxa"/>
            <w:vMerge/>
          </w:tcPr>
          <w:p w14:paraId="2E17A56C" w14:textId="77777777" w:rsidR="006A327E" w:rsidRDefault="006A327E" w:rsidP="006A327E">
            <w:pPr>
              <w:widowControl w:val="0"/>
              <w:autoSpaceDE w:val="0"/>
              <w:autoSpaceDN w:val="0"/>
              <w:adjustRightInd w:val="0"/>
              <w:jc w:val="center"/>
            </w:pPr>
          </w:p>
        </w:tc>
        <w:tc>
          <w:tcPr>
            <w:tcW w:w="2214" w:type="dxa"/>
          </w:tcPr>
          <w:p w14:paraId="5C31DD00" w14:textId="77777777" w:rsidR="006A327E" w:rsidRDefault="006A327E" w:rsidP="006A327E">
            <w:pPr>
              <w:widowControl w:val="0"/>
              <w:autoSpaceDE w:val="0"/>
              <w:autoSpaceDN w:val="0"/>
              <w:adjustRightInd w:val="0"/>
              <w:jc w:val="center"/>
            </w:pPr>
            <w:r>
              <w:t>Secondary</w:t>
            </w:r>
          </w:p>
        </w:tc>
        <w:tc>
          <w:tcPr>
            <w:tcW w:w="2214" w:type="dxa"/>
          </w:tcPr>
          <w:p w14:paraId="7FF82EC0" w14:textId="77777777" w:rsidR="006A327E" w:rsidRDefault="006A327E" w:rsidP="006A327E">
            <w:pPr>
              <w:widowControl w:val="0"/>
              <w:autoSpaceDE w:val="0"/>
              <w:autoSpaceDN w:val="0"/>
              <w:adjustRightInd w:val="0"/>
              <w:jc w:val="center"/>
            </w:pPr>
            <w:r>
              <w:t>Elsewhere</w:t>
            </w:r>
          </w:p>
        </w:tc>
        <w:tc>
          <w:tcPr>
            <w:tcW w:w="3186" w:type="dxa"/>
            <w:vMerge/>
          </w:tcPr>
          <w:p w14:paraId="6F266F36" w14:textId="77777777" w:rsidR="006A327E" w:rsidRDefault="006A327E" w:rsidP="006A327E">
            <w:pPr>
              <w:widowControl w:val="0"/>
              <w:autoSpaceDE w:val="0"/>
              <w:autoSpaceDN w:val="0"/>
              <w:adjustRightInd w:val="0"/>
              <w:jc w:val="center"/>
            </w:pPr>
          </w:p>
        </w:tc>
      </w:tr>
      <w:tr w:rsidR="006A327E" w14:paraId="7F7484B7" w14:textId="77777777" w:rsidTr="006A327E">
        <w:tc>
          <w:tcPr>
            <w:tcW w:w="2214" w:type="dxa"/>
            <w:vMerge w:val="restart"/>
          </w:tcPr>
          <w:p w14:paraId="08DB91FD" w14:textId="77777777" w:rsidR="006A327E" w:rsidRDefault="006A327E" w:rsidP="006A327E">
            <w:pPr>
              <w:widowControl w:val="0"/>
              <w:autoSpaceDE w:val="0"/>
              <w:autoSpaceDN w:val="0"/>
              <w:adjustRightInd w:val="0"/>
              <w:jc w:val="center"/>
            </w:pPr>
          </w:p>
          <w:p w14:paraId="6A7C4EA8" w14:textId="77777777" w:rsidR="006A327E" w:rsidRDefault="006A327E" w:rsidP="006A327E">
            <w:pPr>
              <w:widowControl w:val="0"/>
              <w:autoSpaceDE w:val="0"/>
              <w:autoSpaceDN w:val="0"/>
              <w:adjustRightInd w:val="0"/>
              <w:jc w:val="center"/>
            </w:pPr>
            <w:r>
              <w:t>470-494 MHz</w:t>
            </w:r>
          </w:p>
        </w:tc>
        <w:tc>
          <w:tcPr>
            <w:tcW w:w="2214" w:type="dxa"/>
          </w:tcPr>
          <w:p w14:paraId="3DE26244" w14:textId="77777777" w:rsidR="006A327E" w:rsidRDefault="006A327E" w:rsidP="006A327E">
            <w:pPr>
              <w:widowControl w:val="0"/>
              <w:autoSpaceDE w:val="0"/>
              <w:autoSpaceDN w:val="0"/>
              <w:adjustRightInd w:val="0"/>
              <w:jc w:val="center"/>
            </w:pPr>
          </w:p>
          <w:p w14:paraId="30E09F60" w14:textId="77777777" w:rsidR="006A327E" w:rsidRDefault="006A327E" w:rsidP="006A327E">
            <w:pPr>
              <w:widowControl w:val="0"/>
              <w:autoSpaceDE w:val="0"/>
              <w:autoSpaceDN w:val="0"/>
              <w:adjustRightInd w:val="0"/>
              <w:jc w:val="center"/>
            </w:pPr>
            <w:r>
              <w:t>Secondary</w:t>
            </w:r>
          </w:p>
        </w:tc>
        <w:tc>
          <w:tcPr>
            <w:tcW w:w="2214" w:type="dxa"/>
          </w:tcPr>
          <w:p w14:paraId="344EE318" w14:textId="77777777" w:rsidR="006A327E" w:rsidRDefault="006A327E" w:rsidP="006A327E">
            <w:pPr>
              <w:widowControl w:val="0"/>
              <w:autoSpaceDE w:val="0"/>
              <w:autoSpaceDN w:val="0"/>
              <w:adjustRightInd w:val="0"/>
              <w:jc w:val="center"/>
            </w:pPr>
            <w:r>
              <w:t xml:space="preserve">10 countries in Europe listed in No. </w:t>
            </w:r>
            <w:r w:rsidRPr="00D6461B">
              <w:rPr>
                <w:b/>
              </w:rPr>
              <w:t>5.</w:t>
            </w:r>
            <w:r>
              <w:rPr>
                <w:b/>
              </w:rPr>
              <w:t>291</w:t>
            </w:r>
            <w:r w:rsidRPr="00D6461B">
              <w:rPr>
                <w:b/>
              </w:rPr>
              <w:t>A</w:t>
            </w:r>
          </w:p>
        </w:tc>
        <w:tc>
          <w:tcPr>
            <w:tcW w:w="3186" w:type="dxa"/>
            <w:vMerge w:val="restart"/>
          </w:tcPr>
          <w:p w14:paraId="516AD28E" w14:textId="77777777" w:rsidR="006A327E" w:rsidRDefault="006A327E" w:rsidP="006A327E">
            <w:pPr>
              <w:widowControl w:val="0"/>
              <w:autoSpaceDE w:val="0"/>
              <w:autoSpaceDN w:val="0"/>
              <w:adjustRightInd w:val="0"/>
              <w:jc w:val="center"/>
            </w:pPr>
          </w:p>
          <w:p w14:paraId="0A1C6C54" w14:textId="77777777" w:rsidR="006A327E" w:rsidRDefault="006A327E" w:rsidP="006A327E">
            <w:pPr>
              <w:widowControl w:val="0"/>
              <w:autoSpaceDE w:val="0"/>
              <w:autoSpaceDN w:val="0"/>
              <w:adjustRightInd w:val="0"/>
              <w:jc w:val="center"/>
            </w:pPr>
            <w:r>
              <w:t>N/A</w:t>
            </w:r>
          </w:p>
        </w:tc>
      </w:tr>
      <w:tr w:rsidR="006A327E" w14:paraId="33C86806" w14:textId="77777777" w:rsidTr="006A327E">
        <w:tc>
          <w:tcPr>
            <w:tcW w:w="2214" w:type="dxa"/>
            <w:vMerge/>
          </w:tcPr>
          <w:p w14:paraId="34145525" w14:textId="77777777" w:rsidR="006A327E" w:rsidRDefault="006A327E" w:rsidP="006A327E">
            <w:pPr>
              <w:widowControl w:val="0"/>
              <w:autoSpaceDE w:val="0"/>
              <w:autoSpaceDN w:val="0"/>
              <w:adjustRightInd w:val="0"/>
              <w:jc w:val="center"/>
            </w:pPr>
          </w:p>
        </w:tc>
        <w:tc>
          <w:tcPr>
            <w:tcW w:w="2214" w:type="dxa"/>
          </w:tcPr>
          <w:p w14:paraId="0B133F3E" w14:textId="77777777" w:rsidR="006A327E" w:rsidRDefault="006A327E" w:rsidP="006A327E">
            <w:pPr>
              <w:widowControl w:val="0"/>
              <w:autoSpaceDE w:val="0"/>
              <w:autoSpaceDN w:val="0"/>
              <w:adjustRightInd w:val="0"/>
              <w:jc w:val="center"/>
            </w:pPr>
            <w:r>
              <w:t>None</w:t>
            </w:r>
          </w:p>
        </w:tc>
        <w:tc>
          <w:tcPr>
            <w:tcW w:w="2214" w:type="dxa"/>
          </w:tcPr>
          <w:p w14:paraId="7C6DD5FB" w14:textId="77777777" w:rsidR="006A327E" w:rsidRDefault="006A327E" w:rsidP="006A327E">
            <w:pPr>
              <w:widowControl w:val="0"/>
              <w:autoSpaceDE w:val="0"/>
              <w:autoSpaceDN w:val="0"/>
              <w:adjustRightInd w:val="0"/>
              <w:jc w:val="center"/>
            </w:pPr>
            <w:r>
              <w:t>Elsewhere</w:t>
            </w:r>
          </w:p>
        </w:tc>
        <w:tc>
          <w:tcPr>
            <w:tcW w:w="3186" w:type="dxa"/>
            <w:vMerge/>
          </w:tcPr>
          <w:p w14:paraId="1CB701AF" w14:textId="77777777" w:rsidR="006A327E" w:rsidRDefault="006A327E" w:rsidP="006A327E">
            <w:pPr>
              <w:widowControl w:val="0"/>
              <w:autoSpaceDE w:val="0"/>
              <w:autoSpaceDN w:val="0"/>
              <w:adjustRightInd w:val="0"/>
              <w:jc w:val="center"/>
            </w:pPr>
          </w:p>
        </w:tc>
      </w:tr>
      <w:tr w:rsidR="006A327E" w14:paraId="4C3674B7" w14:textId="77777777" w:rsidTr="006A327E">
        <w:tc>
          <w:tcPr>
            <w:tcW w:w="2214" w:type="dxa"/>
            <w:vMerge w:val="restart"/>
          </w:tcPr>
          <w:p w14:paraId="2A4B72AA" w14:textId="77777777" w:rsidR="006A327E" w:rsidRDefault="006A327E" w:rsidP="006A327E">
            <w:pPr>
              <w:widowControl w:val="0"/>
              <w:autoSpaceDE w:val="0"/>
              <w:autoSpaceDN w:val="0"/>
              <w:adjustRightInd w:val="0"/>
              <w:jc w:val="center"/>
            </w:pPr>
          </w:p>
          <w:p w14:paraId="2B7ABE59" w14:textId="77777777" w:rsidR="006A327E" w:rsidRDefault="006A327E" w:rsidP="006A327E">
            <w:pPr>
              <w:widowControl w:val="0"/>
              <w:autoSpaceDE w:val="0"/>
              <w:autoSpaceDN w:val="0"/>
              <w:adjustRightInd w:val="0"/>
              <w:jc w:val="center"/>
            </w:pPr>
            <w:r>
              <w:t>902-928 MHz</w:t>
            </w:r>
          </w:p>
        </w:tc>
        <w:tc>
          <w:tcPr>
            <w:tcW w:w="2214" w:type="dxa"/>
          </w:tcPr>
          <w:p w14:paraId="1EE526F7" w14:textId="77777777" w:rsidR="006A327E" w:rsidRDefault="006A327E" w:rsidP="006A327E">
            <w:pPr>
              <w:widowControl w:val="0"/>
              <w:autoSpaceDE w:val="0"/>
              <w:autoSpaceDN w:val="0"/>
              <w:adjustRightInd w:val="0"/>
              <w:jc w:val="center"/>
            </w:pPr>
            <w:r>
              <w:t>Secondary</w:t>
            </w:r>
          </w:p>
        </w:tc>
        <w:tc>
          <w:tcPr>
            <w:tcW w:w="2214" w:type="dxa"/>
          </w:tcPr>
          <w:p w14:paraId="581481E9" w14:textId="77777777" w:rsidR="006A327E" w:rsidRDefault="006A327E" w:rsidP="006A327E">
            <w:pPr>
              <w:widowControl w:val="0"/>
              <w:autoSpaceDE w:val="0"/>
              <w:autoSpaceDN w:val="0"/>
              <w:adjustRightInd w:val="0"/>
              <w:jc w:val="center"/>
            </w:pPr>
            <w:r>
              <w:t>ITU Region 2 (Americas)</w:t>
            </w:r>
          </w:p>
        </w:tc>
        <w:tc>
          <w:tcPr>
            <w:tcW w:w="3186" w:type="dxa"/>
            <w:vMerge w:val="restart"/>
          </w:tcPr>
          <w:p w14:paraId="25C8999E" w14:textId="77777777" w:rsidR="006A327E" w:rsidRDefault="006A327E" w:rsidP="006A327E">
            <w:pPr>
              <w:widowControl w:val="0"/>
              <w:autoSpaceDE w:val="0"/>
              <w:autoSpaceDN w:val="0"/>
              <w:adjustRightInd w:val="0"/>
              <w:jc w:val="center"/>
            </w:pPr>
          </w:p>
          <w:p w14:paraId="1BBA114D" w14:textId="77777777" w:rsidR="006A327E" w:rsidRDefault="006A327E" w:rsidP="006A327E">
            <w:pPr>
              <w:widowControl w:val="0"/>
              <w:autoSpaceDE w:val="0"/>
              <w:autoSpaceDN w:val="0"/>
              <w:adjustRightInd w:val="0"/>
              <w:jc w:val="center"/>
            </w:pPr>
            <w:r>
              <w:t>N/A</w:t>
            </w:r>
          </w:p>
        </w:tc>
      </w:tr>
      <w:tr w:rsidR="006A327E" w14:paraId="2DCCC3A7" w14:textId="77777777" w:rsidTr="006A327E">
        <w:tc>
          <w:tcPr>
            <w:tcW w:w="2214" w:type="dxa"/>
            <w:vMerge/>
          </w:tcPr>
          <w:p w14:paraId="60285DBB" w14:textId="77777777" w:rsidR="006A327E" w:rsidRDefault="006A327E" w:rsidP="006A327E">
            <w:pPr>
              <w:widowControl w:val="0"/>
              <w:autoSpaceDE w:val="0"/>
              <w:autoSpaceDN w:val="0"/>
              <w:adjustRightInd w:val="0"/>
              <w:jc w:val="center"/>
            </w:pPr>
          </w:p>
        </w:tc>
        <w:tc>
          <w:tcPr>
            <w:tcW w:w="2214" w:type="dxa"/>
          </w:tcPr>
          <w:p w14:paraId="07A0B331" w14:textId="77777777" w:rsidR="006A327E" w:rsidRDefault="006A327E" w:rsidP="006A327E">
            <w:pPr>
              <w:widowControl w:val="0"/>
              <w:autoSpaceDE w:val="0"/>
              <w:autoSpaceDN w:val="0"/>
              <w:adjustRightInd w:val="0"/>
              <w:jc w:val="center"/>
            </w:pPr>
            <w:r>
              <w:t>None</w:t>
            </w:r>
          </w:p>
        </w:tc>
        <w:tc>
          <w:tcPr>
            <w:tcW w:w="2214" w:type="dxa"/>
          </w:tcPr>
          <w:p w14:paraId="3B0713A0" w14:textId="77777777" w:rsidR="006A327E" w:rsidRDefault="006A327E" w:rsidP="006A327E">
            <w:pPr>
              <w:widowControl w:val="0"/>
              <w:autoSpaceDE w:val="0"/>
              <w:autoSpaceDN w:val="0"/>
              <w:adjustRightInd w:val="0"/>
              <w:jc w:val="center"/>
            </w:pPr>
            <w:r>
              <w:t>Elsewhere</w:t>
            </w:r>
          </w:p>
        </w:tc>
        <w:tc>
          <w:tcPr>
            <w:tcW w:w="3186" w:type="dxa"/>
            <w:vMerge/>
          </w:tcPr>
          <w:p w14:paraId="1988BD24" w14:textId="77777777" w:rsidR="006A327E" w:rsidRDefault="006A327E" w:rsidP="006A327E">
            <w:pPr>
              <w:widowControl w:val="0"/>
              <w:autoSpaceDE w:val="0"/>
              <w:autoSpaceDN w:val="0"/>
              <w:adjustRightInd w:val="0"/>
              <w:jc w:val="center"/>
            </w:pPr>
          </w:p>
        </w:tc>
      </w:tr>
      <w:tr w:rsidR="006A327E" w14:paraId="56B0BF18" w14:textId="77777777" w:rsidTr="006A327E">
        <w:tc>
          <w:tcPr>
            <w:tcW w:w="2214" w:type="dxa"/>
          </w:tcPr>
          <w:p w14:paraId="237AB2A4" w14:textId="77777777" w:rsidR="006A327E" w:rsidRDefault="006A327E" w:rsidP="006A327E">
            <w:pPr>
              <w:widowControl w:val="0"/>
              <w:autoSpaceDE w:val="0"/>
              <w:autoSpaceDN w:val="0"/>
              <w:adjustRightInd w:val="0"/>
              <w:jc w:val="center"/>
            </w:pPr>
          </w:p>
          <w:p w14:paraId="3523F04E" w14:textId="77777777" w:rsidR="006A327E" w:rsidRDefault="006A327E" w:rsidP="006A327E">
            <w:pPr>
              <w:widowControl w:val="0"/>
              <w:autoSpaceDE w:val="0"/>
              <w:autoSpaceDN w:val="0"/>
              <w:adjustRightInd w:val="0"/>
              <w:jc w:val="center"/>
            </w:pPr>
          </w:p>
          <w:p w14:paraId="3EC6B90D" w14:textId="77777777" w:rsidR="006A327E" w:rsidRDefault="006A327E" w:rsidP="006A327E">
            <w:pPr>
              <w:widowControl w:val="0"/>
              <w:autoSpaceDE w:val="0"/>
              <w:autoSpaceDN w:val="0"/>
              <w:adjustRightInd w:val="0"/>
              <w:jc w:val="center"/>
            </w:pPr>
          </w:p>
          <w:p w14:paraId="68B603F5" w14:textId="77777777" w:rsidR="006A327E" w:rsidRDefault="006A327E" w:rsidP="006A327E">
            <w:pPr>
              <w:widowControl w:val="0"/>
              <w:autoSpaceDE w:val="0"/>
              <w:autoSpaceDN w:val="0"/>
              <w:adjustRightInd w:val="0"/>
              <w:jc w:val="center"/>
            </w:pPr>
            <w:r>
              <w:t>1270-1295 MHz</w:t>
            </w:r>
          </w:p>
        </w:tc>
        <w:tc>
          <w:tcPr>
            <w:tcW w:w="2214" w:type="dxa"/>
          </w:tcPr>
          <w:p w14:paraId="29C2BED9" w14:textId="77777777" w:rsidR="006A327E" w:rsidRDefault="006A327E" w:rsidP="006A327E">
            <w:pPr>
              <w:widowControl w:val="0"/>
              <w:autoSpaceDE w:val="0"/>
              <w:autoSpaceDN w:val="0"/>
              <w:adjustRightInd w:val="0"/>
              <w:jc w:val="center"/>
            </w:pPr>
          </w:p>
          <w:p w14:paraId="2F205370" w14:textId="77777777" w:rsidR="006A327E" w:rsidRDefault="006A327E" w:rsidP="006A327E">
            <w:pPr>
              <w:widowControl w:val="0"/>
              <w:autoSpaceDE w:val="0"/>
              <w:autoSpaceDN w:val="0"/>
              <w:adjustRightInd w:val="0"/>
              <w:jc w:val="center"/>
            </w:pPr>
          </w:p>
          <w:p w14:paraId="062DC9E8" w14:textId="77777777" w:rsidR="006A327E" w:rsidRDefault="006A327E" w:rsidP="006A327E">
            <w:pPr>
              <w:widowControl w:val="0"/>
              <w:autoSpaceDE w:val="0"/>
              <w:autoSpaceDN w:val="0"/>
              <w:adjustRightInd w:val="0"/>
              <w:jc w:val="center"/>
            </w:pPr>
          </w:p>
          <w:p w14:paraId="25A77112" w14:textId="77777777" w:rsidR="006A327E" w:rsidRDefault="006A327E" w:rsidP="006A327E">
            <w:pPr>
              <w:widowControl w:val="0"/>
              <w:autoSpaceDE w:val="0"/>
              <w:autoSpaceDN w:val="0"/>
              <w:adjustRightInd w:val="0"/>
              <w:jc w:val="center"/>
            </w:pPr>
            <w:r>
              <w:t>Primary</w:t>
            </w:r>
          </w:p>
        </w:tc>
        <w:tc>
          <w:tcPr>
            <w:tcW w:w="2214" w:type="dxa"/>
          </w:tcPr>
          <w:p w14:paraId="23A98453" w14:textId="77777777" w:rsidR="006A327E" w:rsidRDefault="006A327E" w:rsidP="006A327E">
            <w:pPr>
              <w:widowControl w:val="0"/>
              <w:autoSpaceDE w:val="0"/>
              <w:autoSpaceDN w:val="0"/>
              <w:adjustRightInd w:val="0"/>
              <w:jc w:val="center"/>
            </w:pPr>
          </w:p>
          <w:p w14:paraId="39463440" w14:textId="77777777" w:rsidR="006A327E" w:rsidRDefault="006A327E" w:rsidP="006A327E">
            <w:pPr>
              <w:widowControl w:val="0"/>
              <w:autoSpaceDE w:val="0"/>
              <w:autoSpaceDN w:val="0"/>
              <w:adjustRightInd w:val="0"/>
              <w:jc w:val="center"/>
            </w:pPr>
          </w:p>
          <w:p w14:paraId="554F5BC2" w14:textId="77777777" w:rsidR="006A327E" w:rsidRDefault="006A327E" w:rsidP="006A327E">
            <w:pPr>
              <w:widowControl w:val="0"/>
              <w:autoSpaceDE w:val="0"/>
              <w:autoSpaceDN w:val="0"/>
              <w:adjustRightInd w:val="0"/>
              <w:jc w:val="center"/>
            </w:pPr>
          </w:p>
          <w:p w14:paraId="607FF984" w14:textId="77777777" w:rsidR="006A327E" w:rsidRDefault="006A327E" w:rsidP="006A327E">
            <w:pPr>
              <w:widowControl w:val="0"/>
              <w:autoSpaceDE w:val="0"/>
              <w:autoSpaceDN w:val="0"/>
              <w:adjustRightInd w:val="0"/>
              <w:jc w:val="center"/>
            </w:pPr>
            <w:r>
              <w:t>Global</w:t>
            </w:r>
          </w:p>
        </w:tc>
        <w:tc>
          <w:tcPr>
            <w:tcW w:w="3186" w:type="dxa"/>
          </w:tcPr>
          <w:p w14:paraId="28942734" w14:textId="77777777" w:rsidR="006A327E" w:rsidRDefault="006A327E" w:rsidP="006A327E">
            <w:pPr>
              <w:widowControl w:val="0"/>
              <w:autoSpaceDE w:val="0"/>
              <w:autoSpaceDN w:val="0"/>
              <w:adjustRightInd w:val="0"/>
              <w:jc w:val="center"/>
            </w:pPr>
            <w:r>
              <w:t xml:space="preserve">Co-primary with Earth exploration satellite service, space research service (active), and </w:t>
            </w:r>
            <w:proofErr w:type="spellStart"/>
            <w:r>
              <w:t>radionavigation</w:t>
            </w:r>
            <w:proofErr w:type="spellEnd"/>
            <w:r>
              <w:t xml:space="preserve"> satellite service</w:t>
            </w:r>
          </w:p>
        </w:tc>
      </w:tr>
      <w:tr w:rsidR="006A327E" w14:paraId="197F1F89" w14:textId="77777777" w:rsidTr="006A327E">
        <w:tc>
          <w:tcPr>
            <w:tcW w:w="2214" w:type="dxa"/>
          </w:tcPr>
          <w:p w14:paraId="559FE751" w14:textId="77777777" w:rsidR="006A327E" w:rsidRDefault="006A327E" w:rsidP="006A327E">
            <w:pPr>
              <w:widowControl w:val="0"/>
              <w:autoSpaceDE w:val="0"/>
              <w:autoSpaceDN w:val="0"/>
              <w:adjustRightInd w:val="0"/>
              <w:jc w:val="center"/>
            </w:pPr>
          </w:p>
          <w:p w14:paraId="7279E1F8" w14:textId="77777777" w:rsidR="006A327E" w:rsidRDefault="006A327E" w:rsidP="006A327E">
            <w:pPr>
              <w:widowControl w:val="0"/>
              <w:autoSpaceDE w:val="0"/>
              <w:autoSpaceDN w:val="0"/>
              <w:adjustRightInd w:val="0"/>
              <w:jc w:val="center"/>
            </w:pPr>
          </w:p>
          <w:p w14:paraId="48DED53D" w14:textId="77777777" w:rsidR="006A327E" w:rsidRDefault="006A327E" w:rsidP="006A327E">
            <w:pPr>
              <w:widowControl w:val="0"/>
              <w:autoSpaceDE w:val="0"/>
              <w:autoSpaceDN w:val="0"/>
              <w:adjustRightInd w:val="0"/>
              <w:jc w:val="center"/>
            </w:pPr>
            <w:r>
              <w:t>1300-1375 MHz</w:t>
            </w:r>
          </w:p>
        </w:tc>
        <w:tc>
          <w:tcPr>
            <w:tcW w:w="2214" w:type="dxa"/>
          </w:tcPr>
          <w:p w14:paraId="27A75F9A" w14:textId="77777777" w:rsidR="006A327E" w:rsidRDefault="006A327E" w:rsidP="006A327E">
            <w:pPr>
              <w:widowControl w:val="0"/>
              <w:autoSpaceDE w:val="0"/>
              <w:autoSpaceDN w:val="0"/>
              <w:adjustRightInd w:val="0"/>
              <w:jc w:val="center"/>
            </w:pPr>
          </w:p>
          <w:p w14:paraId="5B0B53A3" w14:textId="77777777" w:rsidR="006A327E" w:rsidRDefault="006A327E" w:rsidP="006A327E">
            <w:pPr>
              <w:widowControl w:val="0"/>
              <w:autoSpaceDE w:val="0"/>
              <w:autoSpaceDN w:val="0"/>
              <w:adjustRightInd w:val="0"/>
              <w:jc w:val="center"/>
            </w:pPr>
          </w:p>
          <w:p w14:paraId="5C9472FF" w14:textId="77777777" w:rsidR="006A327E" w:rsidRDefault="006A327E" w:rsidP="006A327E">
            <w:pPr>
              <w:widowControl w:val="0"/>
              <w:autoSpaceDE w:val="0"/>
              <w:autoSpaceDN w:val="0"/>
              <w:adjustRightInd w:val="0"/>
              <w:jc w:val="center"/>
            </w:pPr>
            <w:r>
              <w:t>Primary</w:t>
            </w:r>
          </w:p>
        </w:tc>
        <w:tc>
          <w:tcPr>
            <w:tcW w:w="2214" w:type="dxa"/>
          </w:tcPr>
          <w:p w14:paraId="460C9839" w14:textId="77777777" w:rsidR="006A327E" w:rsidRDefault="006A327E" w:rsidP="006A327E">
            <w:pPr>
              <w:widowControl w:val="0"/>
              <w:autoSpaceDE w:val="0"/>
              <w:autoSpaceDN w:val="0"/>
              <w:adjustRightInd w:val="0"/>
              <w:jc w:val="center"/>
            </w:pPr>
          </w:p>
          <w:p w14:paraId="6C3898A6" w14:textId="77777777" w:rsidR="006A327E" w:rsidRDefault="006A327E" w:rsidP="006A327E">
            <w:pPr>
              <w:widowControl w:val="0"/>
              <w:autoSpaceDE w:val="0"/>
              <w:autoSpaceDN w:val="0"/>
              <w:adjustRightInd w:val="0"/>
              <w:jc w:val="center"/>
            </w:pPr>
          </w:p>
          <w:p w14:paraId="5244FF41" w14:textId="77777777" w:rsidR="006A327E" w:rsidRDefault="006A327E" w:rsidP="006A327E">
            <w:pPr>
              <w:widowControl w:val="0"/>
              <w:autoSpaceDE w:val="0"/>
              <w:autoSpaceDN w:val="0"/>
              <w:adjustRightInd w:val="0"/>
              <w:jc w:val="center"/>
            </w:pPr>
            <w:r>
              <w:t>Global</w:t>
            </w:r>
          </w:p>
        </w:tc>
        <w:tc>
          <w:tcPr>
            <w:tcW w:w="3186" w:type="dxa"/>
          </w:tcPr>
          <w:p w14:paraId="3C0150A2" w14:textId="77777777" w:rsidR="006A327E" w:rsidRDefault="006A327E" w:rsidP="006A327E">
            <w:pPr>
              <w:widowControl w:val="0"/>
              <w:autoSpaceDE w:val="0"/>
              <w:autoSpaceDN w:val="0"/>
              <w:adjustRightInd w:val="0"/>
              <w:jc w:val="center"/>
            </w:pPr>
            <w:r>
              <w:t>Co-primary with fixed service and mobile service in ITU Region 1, above 1350 MHz</w:t>
            </w:r>
          </w:p>
        </w:tc>
      </w:tr>
      <w:tr w:rsidR="006A327E" w14:paraId="5526C654" w14:textId="77777777" w:rsidTr="006A327E">
        <w:tc>
          <w:tcPr>
            <w:tcW w:w="2214" w:type="dxa"/>
          </w:tcPr>
          <w:p w14:paraId="3CE98597" w14:textId="77777777" w:rsidR="006A327E" w:rsidRDefault="006A327E" w:rsidP="006A327E">
            <w:pPr>
              <w:widowControl w:val="0"/>
              <w:autoSpaceDE w:val="0"/>
              <w:autoSpaceDN w:val="0"/>
              <w:adjustRightInd w:val="0"/>
              <w:jc w:val="center"/>
            </w:pPr>
          </w:p>
          <w:p w14:paraId="65B6BBE2" w14:textId="77777777" w:rsidR="006A327E" w:rsidRDefault="006A327E" w:rsidP="006A327E">
            <w:pPr>
              <w:widowControl w:val="0"/>
              <w:autoSpaceDE w:val="0"/>
              <w:autoSpaceDN w:val="0"/>
              <w:adjustRightInd w:val="0"/>
              <w:jc w:val="center"/>
            </w:pPr>
          </w:p>
          <w:p w14:paraId="2E52B8A0" w14:textId="77777777" w:rsidR="006A327E" w:rsidRDefault="006A327E" w:rsidP="006A327E">
            <w:pPr>
              <w:widowControl w:val="0"/>
              <w:autoSpaceDE w:val="0"/>
              <w:autoSpaceDN w:val="0"/>
              <w:adjustRightInd w:val="0"/>
              <w:jc w:val="center"/>
            </w:pPr>
            <w:r>
              <w:t>420-435 MHz</w:t>
            </w:r>
          </w:p>
        </w:tc>
        <w:tc>
          <w:tcPr>
            <w:tcW w:w="2214" w:type="dxa"/>
          </w:tcPr>
          <w:p w14:paraId="36819EB4" w14:textId="77777777" w:rsidR="006A327E" w:rsidRDefault="006A327E" w:rsidP="006A327E">
            <w:pPr>
              <w:widowControl w:val="0"/>
              <w:autoSpaceDE w:val="0"/>
              <w:autoSpaceDN w:val="0"/>
              <w:adjustRightInd w:val="0"/>
            </w:pPr>
          </w:p>
          <w:p w14:paraId="25B22B4B" w14:textId="77777777" w:rsidR="006A327E" w:rsidRDefault="006A327E" w:rsidP="006A327E">
            <w:pPr>
              <w:widowControl w:val="0"/>
              <w:autoSpaceDE w:val="0"/>
              <w:autoSpaceDN w:val="0"/>
              <w:adjustRightInd w:val="0"/>
              <w:jc w:val="center"/>
            </w:pPr>
            <w:r>
              <w:t xml:space="preserve">420-430 MHz- </w:t>
            </w:r>
          </w:p>
          <w:p w14:paraId="3F33B629" w14:textId="77777777" w:rsidR="006A327E" w:rsidRDefault="006A327E" w:rsidP="006A327E">
            <w:pPr>
              <w:widowControl w:val="0"/>
              <w:autoSpaceDE w:val="0"/>
              <w:autoSpaceDN w:val="0"/>
              <w:adjustRightInd w:val="0"/>
              <w:jc w:val="center"/>
            </w:pPr>
            <w:r>
              <w:t>Secondary</w:t>
            </w:r>
          </w:p>
          <w:p w14:paraId="3DE01B89" w14:textId="77777777" w:rsidR="006A327E" w:rsidRDefault="006A327E" w:rsidP="006A327E">
            <w:pPr>
              <w:widowControl w:val="0"/>
              <w:autoSpaceDE w:val="0"/>
              <w:autoSpaceDN w:val="0"/>
              <w:adjustRightInd w:val="0"/>
              <w:jc w:val="center"/>
            </w:pPr>
          </w:p>
          <w:p w14:paraId="598D2C09" w14:textId="77777777" w:rsidR="006A327E" w:rsidRDefault="006A327E" w:rsidP="006A327E">
            <w:pPr>
              <w:widowControl w:val="0"/>
              <w:autoSpaceDE w:val="0"/>
              <w:autoSpaceDN w:val="0"/>
              <w:adjustRightInd w:val="0"/>
              <w:jc w:val="center"/>
            </w:pPr>
            <w:r>
              <w:t>430-435 MHz-</w:t>
            </w:r>
          </w:p>
          <w:p w14:paraId="17DF4A3C" w14:textId="77777777" w:rsidR="006A327E" w:rsidRDefault="006A327E" w:rsidP="006A327E">
            <w:pPr>
              <w:widowControl w:val="0"/>
              <w:autoSpaceDE w:val="0"/>
              <w:autoSpaceDN w:val="0"/>
              <w:adjustRightInd w:val="0"/>
              <w:jc w:val="center"/>
            </w:pPr>
            <w:r>
              <w:t>Primary</w:t>
            </w:r>
          </w:p>
        </w:tc>
        <w:tc>
          <w:tcPr>
            <w:tcW w:w="2214" w:type="dxa"/>
          </w:tcPr>
          <w:p w14:paraId="6C2FA806" w14:textId="77777777" w:rsidR="006A327E" w:rsidRDefault="006A327E" w:rsidP="006A327E">
            <w:pPr>
              <w:widowControl w:val="0"/>
              <w:autoSpaceDE w:val="0"/>
              <w:autoSpaceDN w:val="0"/>
              <w:adjustRightInd w:val="0"/>
              <w:jc w:val="center"/>
            </w:pPr>
          </w:p>
          <w:p w14:paraId="7B4DF246" w14:textId="77777777" w:rsidR="006A327E" w:rsidRDefault="006A327E" w:rsidP="006A327E">
            <w:pPr>
              <w:widowControl w:val="0"/>
              <w:autoSpaceDE w:val="0"/>
              <w:autoSpaceDN w:val="0"/>
              <w:adjustRightInd w:val="0"/>
              <w:jc w:val="center"/>
            </w:pPr>
          </w:p>
          <w:p w14:paraId="7854709F" w14:textId="77777777" w:rsidR="006A327E" w:rsidRDefault="006A327E" w:rsidP="006A327E">
            <w:pPr>
              <w:widowControl w:val="0"/>
              <w:autoSpaceDE w:val="0"/>
              <w:autoSpaceDN w:val="0"/>
              <w:adjustRightInd w:val="0"/>
              <w:jc w:val="center"/>
            </w:pPr>
            <w:r>
              <w:t>Global</w:t>
            </w:r>
          </w:p>
        </w:tc>
        <w:tc>
          <w:tcPr>
            <w:tcW w:w="3186" w:type="dxa"/>
          </w:tcPr>
          <w:p w14:paraId="5A717414" w14:textId="77777777" w:rsidR="006A327E" w:rsidRDefault="006A327E" w:rsidP="006A327E">
            <w:pPr>
              <w:widowControl w:val="0"/>
              <w:autoSpaceDE w:val="0"/>
              <w:autoSpaceDN w:val="0"/>
              <w:adjustRightInd w:val="0"/>
              <w:jc w:val="center"/>
            </w:pPr>
            <w:r>
              <w:t>Alternative band to 440-450 MHz and 470-494 MHz</w:t>
            </w:r>
          </w:p>
          <w:p w14:paraId="4D7F07E5" w14:textId="77777777" w:rsidR="006A327E" w:rsidRDefault="006A327E" w:rsidP="006A327E">
            <w:pPr>
              <w:widowControl w:val="0"/>
              <w:autoSpaceDE w:val="0"/>
              <w:autoSpaceDN w:val="0"/>
              <w:adjustRightInd w:val="0"/>
              <w:jc w:val="center"/>
            </w:pPr>
          </w:p>
          <w:p w14:paraId="1D5EB3DC" w14:textId="77777777" w:rsidR="006A327E" w:rsidRDefault="006A327E" w:rsidP="006A327E">
            <w:pPr>
              <w:widowControl w:val="0"/>
              <w:autoSpaceDE w:val="0"/>
              <w:autoSpaceDN w:val="0"/>
              <w:adjustRightInd w:val="0"/>
              <w:jc w:val="center"/>
            </w:pPr>
            <w:r>
              <w:t xml:space="preserve">Co-primary with fixed service and mobile service above 430 MHz in 43 countries listed in No. </w:t>
            </w:r>
            <w:r w:rsidRPr="001F531B">
              <w:rPr>
                <w:b/>
              </w:rPr>
              <w:t>5.276</w:t>
            </w:r>
          </w:p>
        </w:tc>
      </w:tr>
      <w:tr w:rsidR="006A327E" w14:paraId="5581D7D9" w14:textId="77777777" w:rsidTr="006A327E">
        <w:tc>
          <w:tcPr>
            <w:tcW w:w="2214" w:type="dxa"/>
          </w:tcPr>
          <w:p w14:paraId="4B936253" w14:textId="77777777" w:rsidR="006A327E" w:rsidRDefault="006A327E" w:rsidP="006A327E">
            <w:pPr>
              <w:widowControl w:val="0"/>
              <w:autoSpaceDE w:val="0"/>
              <w:autoSpaceDN w:val="0"/>
              <w:adjustRightInd w:val="0"/>
              <w:jc w:val="center"/>
            </w:pPr>
          </w:p>
          <w:p w14:paraId="702FF3E0" w14:textId="77777777" w:rsidR="006A327E" w:rsidRDefault="006A327E" w:rsidP="006A327E">
            <w:pPr>
              <w:widowControl w:val="0"/>
              <w:autoSpaceDE w:val="0"/>
              <w:autoSpaceDN w:val="0"/>
              <w:adjustRightInd w:val="0"/>
              <w:jc w:val="center"/>
            </w:pPr>
          </w:p>
          <w:p w14:paraId="7AABBD86" w14:textId="77777777" w:rsidR="006A327E" w:rsidRDefault="006A327E" w:rsidP="006A327E">
            <w:pPr>
              <w:widowControl w:val="0"/>
              <w:autoSpaceDE w:val="0"/>
              <w:autoSpaceDN w:val="0"/>
              <w:adjustRightInd w:val="0"/>
              <w:jc w:val="center"/>
            </w:pPr>
          </w:p>
          <w:p w14:paraId="2992C647" w14:textId="77777777" w:rsidR="006A327E" w:rsidRDefault="006A327E" w:rsidP="006A327E">
            <w:pPr>
              <w:widowControl w:val="0"/>
              <w:autoSpaceDE w:val="0"/>
              <w:autoSpaceDN w:val="0"/>
              <w:adjustRightInd w:val="0"/>
              <w:jc w:val="center"/>
            </w:pPr>
            <w:r>
              <w:t>438-440 MHz</w:t>
            </w:r>
          </w:p>
        </w:tc>
        <w:tc>
          <w:tcPr>
            <w:tcW w:w="2214" w:type="dxa"/>
          </w:tcPr>
          <w:p w14:paraId="7ECD4A5C" w14:textId="77777777" w:rsidR="006A327E" w:rsidRDefault="006A327E" w:rsidP="006A327E">
            <w:pPr>
              <w:widowControl w:val="0"/>
              <w:autoSpaceDE w:val="0"/>
              <w:autoSpaceDN w:val="0"/>
              <w:adjustRightInd w:val="0"/>
              <w:jc w:val="center"/>
            </w:pPr>
          </w:p>
          <w:p w14:paraId="24AAB0F2" w14:textId="77777777" w:rsidR="006A327E" w:rsidRDefault="006A327E" w:rsidP="006A327E">
            <w:pPr>
              <w:widowControl w:val="0"/>
              <w:autoSpaceDE w:val="0"/>
              <w:autoSpaceDN w:val="0"/>
              <w:adjustRightInd w:val="0"/>
              <w:jc w:val="center"/>
            </w:pPr>
          </w:p>
          <w:p w14:paraId="435301C4" w14:textId="77777777" w:rsidR="006A327E" w:rsidRDefault="006A327E" w:rsidP="006A327E">
            <w:pPr>
              <w:widowControl w:val="0"/>
              <w:autoSpaceDE w:val="0"/>
              <w:autoSpaceDN w:val="0"/>
              <w:adjustRightInd w:val="0"/>
              <w:jc w:val="center"/>
            </w:pPr>
          </w:p>
          <w:p w14:paraId="62778B7A" w14:textId="77777777" w:rsidR="006A327E" w:rsidRDefault="006A327E" w:rsidP="006A327E">
            <w:pPr>
              <w:widowControl w:val="0"/>
              <w:autoSpaceDE w:val="0"/>
              <w:autoSpaceDN w:val="0"/>
              <w:adjustRightInd w:val="0"/>
              <w:jc w:val="center"/>
            </w:pPr>
            <w:r>
              <w:t>Primary</w:t>
            </w:r>
          </w:p>
        </w:tc>
        <w:tc>
          <w:tcPr>
            <w:tcW w:w="2214" w:type="dxa"/>
          </w:tcPr>
          <w:p w14:paraId="1F2EA7E8" w14:textId="77777777" w:rsidR="006A327E" w:rsidRDefault="006A327E" w:rsidP="006A327E">
            <w:pPr>
              <w:widowControl w:val="0"/>
              <w:autoSpaceDE w:val="0"/>
              <w:autoSpaceDN w:val="0"/>
              <w:adjustRightInd w:val="0"/>
              <w:jc w:val="center"/>
            </w:pPr>
          </w:p>
          <w:p w14:paraId="5BEC27ED" w14:textId="77777777" w:rsidR="006A327E" w:rsidRDefault="006A327E" w:rsidP="006A327E">
            <w:pPr>
              <w:widowControl w:val="0"/>
              <w:autoSpaceDE w:val="0"/>
              <w:autoSpaceDN w:val="0"/>
              <w:adjustRightInd w:val="0"/>
              <w:jc w:val="center"/>
            </w:pPr>
          </w:p>
          <w:p w14:paraId="0DC4953A" w14:textId="77777777" w:rsidR="006A327E" w:rsidRDefault="006A327E" w:rsidP="006A327E">
            <w:pPr>
              <w:widowControl w:val="0"/>
              <w:autoSpaceDE w:val="0"/>
              <w:autoSpaceDN w:val="0"/>
              <w:adjustRightInd w:val="0"/>
              <w:jc w:val="center"/>
            </w:pPr>
          </w:p>
          <w:p w14:paraId="499D9BA6" w14:textId="77777777" w:rsidR="006A327E" w:rsidRDefault="006A327E" w:rsidP="006A327E">
            <w:pPr>
              <w:widowControl w:val="0"/>
              <w:autoSpaceDE w:val="0"/>
              <w:autoSpaceDN w:val="0"/>
              <w:adjustRightInd w:val="0"/>
              <w:jc w:val="center"/>
            </w:pPr>
            <w:r>
              <w:t>Global</w:t>
            </w:r>
          </w:p>
        </w:tc>
        <w:tc>
          <w:tcPr>
            <w:tcW w:w="3186" w:type="dxa"/>
          </w:tcPr>
          <w:p w14:paraId="3E691761" w14:textId="77777777" w:rsidR="006A327E" w:rsidRDefault="006A327E" w:rsidP="006A327E">
            <w:pPr>
              <w:widowControl w:val="0"/>
              <w:autoSpaceDE w:val="0"/>
              <w:autoSpaceDN w:val="0"/>
              <w:adjustRightInd w:val="0"/>
              <w:jc w:val="center"/>
            </w:pPr>
            <w:r>
              <w:t>Alternative band to 440-450 MHz and 470-490 MHz</w:t>
            </w:r>
          </w:p>
          <w:p w14:paraId="60B2C98A" w14:textId="77777777" w:rsidR="006A327E" w:rsidRDefault="006A327E" w:rsidP="006A327E">
            <w:pPr>
              <w:widowControl w:val="0"/>
              <w:autoSpaceDE w:val="0"/>
              <w:autoSpaceDN w:val="0"/>
              <w:adjustRightInd w:val="0"/>
              <w:jc w:val="center"/>
            </w:pPr>
          </w:p>
          <w:p w14:paraId="45EAA327" w14:textId="77777777" w:rsidR="006A327E" w:rsidRDefault="006A327E" w:rsidP="006A327E">
            <w:pPr>
              <w:widowControl w:val="0"/>
              <w:autoSpaceDE w:val="0"/>
              <w:autoSpaceDN w:val="0"/>
              <w:adjustRightInd w:val="0"/>
              <w:jc w:val="center"/>
            </w:pPr>
            <w:r>
              <w:t xml:space="preserve">Co-primary with amateur service in ITU-Region 1 and with fixed service and mobile service in 43 countries listed in No. </w:t>
            </w:r>
            <w:r w:rsidRPr="001F531B">
              <w:rPr>
                <w:b/>
              </w:rPr>
              <w:t>5.276</w:t>
            </w:r>
          </w:p>
        </w:tc>
      </w:tr>
    </w:tbl>
    <w:p w14:paraId="71428103" w14:textId="77777777" w:rsidR="006A327E" w:rsidRDefault="006A327E" w:rsidP="006A327E">
      <w:r>
        <w:lastRenderedPageBreak/>
        <w:t>Frequency bands where wind profiler radars operate with secondary allocation status do not appear to currently be problematic relative to radio services that have primary allocations in the frequency band.  However, as noted during the November 2014 SG-RFC meeting, proposals to add new primary allocations in some of the frequency bands may pose problems for wind profiler radars operating using a secondary allocation status.  The potential for allocations created for the mobile service for mobile broadband under WRC-15 Agenda Item 1.1 is one example.</w:t>
      </w:r>
    </w:p>
    <w:p w14:paraId="1F5C407C" w14:textId="77777777" w:rsidR="006A327E" w:rsidRPr="00A2789B" w:rsidRDefault="006A327E" w:rsidP="006A327E">
      <w:r>
        <w:t xml:space="preserve">During the November SG-RFC meeting it was noted that some believe action is needed to address potential allocation changes in the frequency bands used by wind profiler radars.  The SG-RFC seeks input from CIMO on the long-term plan for wind profiler radars using the currently identified frequency bands. </w:t>
      </w:r>
    </w:p>
    <w:p w14:paraId="31229A35" w14:textId="77777777" w:rsidR="00A530FD" w:rsidRDefault="00A530FD" w:rsidP="00A530FD">
      <w:pPr>
        <w:pStyle w:val="Default"/>
        <w:jc w:val="both"/>
      </w:pPr>
    </w:p>
    <w:sectPr w:rsidR="00A530FD" w:rsidSect="00167708">
      <w:headerReference w:type="default" r:id="rId9"/>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2F6C" w14:textId="77777777" w:rsidR="00561777" w:rsidRDefault="00561777" w:rsidP="007A73F8">
      <w:pPr>
        <w:spacing w:before="0" w:after="0"/>
      </w:pPr>
      <w:r>
        <w:separator/>
      </w:r>
    </w:p>
  </w:endnote>
  <w:endnote w:type="continuationSeparator" w:id="0">
    <w:p w14:paraId="22C10751" w14:textId="77777777" w:rsidR="00561777" w:rsidRDefault="00561777"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02F5" w14:textId="77777777" w:rsidR="00561777" w:rsidRDefault="00561777" w:rsidP="007A73F8">
      <w:pPr>
        <w:spacing w:before="0" w:after="0"/>
      </w:pPr>
      <w:r>
        <w:separator/>
      </w:r>
    </w:p>
  </w:footnote>
  <w:footnote w:type="continuationSeparator" w:id="0">
    <w:p w14:paraId="5D3EBF42" w14:textId="77777777" w:rsidR="00561777" w:rsidRDefault="00561777" w:rsidP="007A73F8">
      <w:pPr>
        <w:spacing w:before="0" w:after="0"/>
      </w:pPr>
      <w:r>
        <w:continuationSeparator/>
      </w:r>
    </w:p>
  </w:footnote>
  <w:footnote w:id="1">
    <w:p w14:paraId="54821173" w14:textId="77777777" w:rsidR="004D7DB8" w:rsidRDefault="004D7DB8">
      <w:pPr>
        <w:pStyle w:val="FootnoteText"/>
      </w:pPr>
      <w:r>
        <w:rPr>
          <w:rStyle w:val="FootnoteReference"/>
        </w:rPr>
        <w:t>*</w:t>
      </w:r>
      <w:r>
        <w:t xml:space="preserve"> If restricted access is selected the WMO Document will only be accessible to the WMO WIKI registered users.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D691E" w14:textId="77777777" w:rsidR="004D7DB8" w:rsidRPr="009C443D" w:rsidRDefault="004D7DB8" w:rsidP="009C443D">
    <w:pPr>
      <w:pStyle w:val="Header"/>
      <w:spacing w:beforeAutospacing="0" w:afterAutospacing="0"/>
      <w:jc w:val="center"/>
      <w:rPr>
        <w:rStyle w:val="PageNumber"/>
        <w:sz w:val="18"/>
        <w:szCs w:val="18"/>
      </w:rPr>
    </w:pPr>
    <w:r w:rsidRPr="009C443D">
      <w:rPr>
        <w:sz w:val="18"/>
        <w:szCs w:val="18"/>
      </w:rPr>
      <w:t xml:space="preserve">- </w:t>
    </w:r>
    <w:r w:rsidRPr="009C443D">
      <w:rPr>
        <w:rStyle w:val="PageNumber"/>
        <w:sz w:val="18"/>
        <w:szCs w:val="18"/>
      </w:rPr>
      <w:fldChar w:fldCharType="begin"/>
    </w:r>
    <w:r w:rsidRPr="009C443D">
      <w:rPr>
        <w:rStyle w:val="PageNumber"/>
        <w:sz w:val="18"/>
        <w:szCs w:val="18"/>
      </w:rPr>
      <w:instrText xml:space="preserve"> PAGE </w:instrText>
    </w:r>
    <w:r w:rsidRPr="009C443D">
      <w:rPr>
        <w:rStyle w:val="PageNumber"/>
        <w:sz w:val="18"/>
        <w:szCs w:val="18"/>
      </w:rPr>
      <w:fldChar w:fldCharType="separate"/>
    </w:r>
    <w:r w:rsidR="00F2352F">
      <w:rPr>
        <w:rStyle w:val="PageNumber"/>
        <w:noProof/>
        <w:sz w:val="18"/>
        <w:szCs w:val="18"/>
      </w:rPr>
      <w:t>2</w:t>
    </w:r>
    <w:r w:rsidRPr="009C443D">
      <w:rPr>
        <w:rStyle w:val="PageNumber"/>
        <w:sz w:val="18"/>
        <w:szCs w:val="18"/>
      </w:rPr>
      <w:fldChar w:fldCharType="end"/>
    </w:r>
    <w:r w:rsidRPr="009C443D">
      <w:rPr>
        <w:rStyle w:val="PageNumber"/>
        <w:sz w:val="18"/>
        <w:szCs w:val="18"/>
      </w:rPr>
      <w:t xml:space="preserve"> -</w:t>
    </w:r>
  </w:p>
  <w:p w14:paraId="5CC6817C" w14:textId="5DD10A58" w:rsidR="004D7DB8" w:rsidRDefault="004D7DB8" w:rsidP="009C443D">
    <w:pPr>
      <w:pStyle w:val="Header"/>
      <w:spacing w:beforeAutospacing="0" w:afterAutospacing="0"/>
      <w:jc w:val="center"/>
      <w:rPr>
        <w:sz w:val="18"/>
        <w:szCs w:val="18"/>
      </w:rPr>
    </w:pPr>
    <w:r>
      <w:rPr>
        <w:sz w:val="18"/>
        <w:szCs w:val="18"/>
      </w:rPr>
      <w:t>SG-RFC/2015-</w:t>
    </w:r>
    <w:r w:rsidR="00F2352F">
      <w:rPr>
        <w:sz w:val="18"/>
        <w:szCs w:val="18"/>
      </w:rPr>
      <w:t>Doc 13</w:t>
    </w:r>
    <w:r w:rsidRPr="009C443D">
      <w:rPr>
        <w:sz w:val="18"/>
        <w:szCs w:val="18"/>
      </w:rPr>
      <w:t>-E</w:t>
    </w:r>
  </w:p>
  <w:p w14:paraId="466246DE" w14:textId="77777777" w:rsidR="004D7DB8" w:rsidRPr="009C443D" w:rsidRDefault="004D7DB8" w:rsidP="009C443D">
    <w:pPr>
      <w:pStyle w:val="Header"/>
      <w:spacing w:beforeAutospacing="0" w:afterAutospacing="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4008D"/>
    <w:rsid w:val="000757E9"/>
    <w:rsid w:val="00082939"/>
    <w:rsid w:val="000979EA"/>
    <w:rsid w:val="000A42FF"/>
    <w:rsid w:val="000A504D"/>
    <w:rsid w:val="000E608D"/>
    <w:rsid w:val="00102305"/>
    <w:rsid w:val="00107650"/>
    <w:rsid w:val="00113766"/>
    <w:rsid w:val="0014262E"/>
    <w:rsid w:val="001552FC"/>
    <w:rsid w:val="00167708"/>
    <w:rsid w:val="00185160"/>
    <w:rsid w:val="0018521E"/>
    <w:rsid w:val="001B2071"/>
    <w:rsid w:val="001B25A7"/>
    <w:rsid w:val="001C0096"/>
    <w:rsid w:val="00223B48"/>
    <w:rsid w:val="0027433C"/>
    <w:rsid w:val="00277FCC"/>
    <w:rsid w:val="002A46EC"/>
    <w:rsid w:val="002A6E93"/>
    <w:rsid w:val="002E18C0"/>
    <w:rsid w:val="00304706"/>
    <w:rsid w:val="00344376"/>
    <w:rsid w:val="00347E8E"/>
    <w:rsid w:val="0036338C"/>
    <w:rsid w:val="003F6F49"/>
    <w:rsid w:val="00422D26"/>
    <w:rsid w:val="0044117D"/>
    <w:rsid w:val="00453F43"/>
    <w:rsid w:val="00466E06"/>
    <w:rsid w:val="00477E34"/>
    <w:rsid w:val="004D7DB8"/>
    <w:rsid w:val="004E7941"/>
    <w:rsid w:val="00510362"/>
    <w:rsid w:val="00561777"/>
    <w:rsid w:val="005B5FEE"/>
    <w:rsid w:val="00604C1A"/>
    <w:rsid w:val="00613500"/>
    <w:rsid w:val="006237F8"/>
    <w:rsid w:val="00682FE9"/>
    <w:rsid w:val="00683FE2"/>
    <w:rsid w:val="00695EB8"/>
    <w:rsid w:val="006A327E"/>
    <w:rsid w:val="006A4FF3"/>
    <w:rsid w:val="006B4441"/>
    <w:rsid w:val="006F650D"/>
    <w:rsid w:val="00701FDB"/>
    <w:rsid w:val="00713E61"/>
    <w:rsid w:val="00767181"/>
    <w:rsid w:val="00776EFE"/>
    <w:rsid w:val="007777CB"/>
    <w:rsid w:val="00790387"/>
    <w:rsid w:val="007A73F8"/>
    <w:rsid w:val="007A7EA5"/>
    <w:rsid w:val="007F3F87"/>
    <w:rsid w:val="007F6686"/>
    <w:rsid w:val="008075D2"/>
    <w:rsid w:val="00812884"/>
    <w:rsid w:val="00820C6F"/>
    <w:rsid w:val="008276D1"/>
    <w:rsid w:val="00832FA4"/>
    <w:rsid w:val="0084266A"/>
    <w:rsid w:val="00852F63"/>
    <w:rsid w:val="008674B1"/>
    <w:rsid w:val="00872AB2"/>
    <w:rsid w:val="00876393"/>
    <w:rsid w:val="00891B49"/>
    <w:rsid w:val="008D24C5"/>
    <w:rsid w:val="0093198A"/>
    <w:rsid w:val="00991D0C"/>
    <w:rsid w:val="009C443D"/>
    <w:rsid w:val="00A16C11"/>
    <w:rsid w:val="00A30EDB"/>
    <w:rsid w:val="00A409CB"/>
    <w:rsid w:val="00A530FD"/>
    <w:rsid w:val="00A80B44"/>
    <w:rsid w:val="00A90A0C"/>
    <w:rsid w:val="00AA360F"/>
    <w:rsid w:val="00B13392"/>
    <w:rsid w:val="00B1454C"/>
    <w:rsid w:val="00B16AE0"/>
    <w:rsid w:val="00B35CA8"/>
    <w:rsid w:val="00BB2405"/>
    <w:rsid w:val="00BB65DE"/>
    <w:rsid w:val="00BC3021"/>
    <w:rsid w:val="00C34014"/>
    <w:rsid w:val="00CA0ED3"/>
    <w:rsid w:val="00CC0BD7"/>
    <w:rsid w:val="00CE2A96"/>
    <w:rsid w:val="00D01EB3"/>
    <w:rsid w:val="00D027EB"/>
    <w:rsid w:val="00DC1CA7"/>
    <w:rsid w:val="00DC310B"/>
    <w:rsid w:val="00E30F56"/>
    <w:rsid w:val="00E33512"/>
    <w:rsid w:val="00E6563A"/>
    <w:rsid w:val="00E92931"/>
    <w:rsid w:val="00EA7371"/>
    <w:rsid w:val="00F03028"/>
    <w:rsid w:val="00F12FBE"/>
    <w:rsid w:val="00F2352F"/>
    <w:rsid w:val="00F30103"/>
    <w:rsid w:val="00F704A4"/>
    <w:rsid w:val="00FB7F60"/>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5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59"/>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32FA4"/>
    <w:rPr>
      <w:sz w:val="20"/>
      <w:szCs w:val="20"/>
    </w:rPr>
  </w:style>
  <w:style w:type="character" w:styleId="FootnoteReference">
    <w:name w:val="footnote reference"/>
    <w:semiHidden/>
    <w:rsid w:val="00832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A65B9-F73F-4384-92FB-20796217C08E}"/>
</file>

<file path=customXml/itemProps2.xml><?xml version="1.0" encoding="utf-8"?>
<ds:datastoreItem xmlns:ds="http://schemas.openxmlformats.org/officeDocument/2006/customXml" ds:itemID="{1B6DE526-7BA3-4835-A749-6126AD16F846}"/>
</file>

<file path=customXml/itemProps3.xml><?xml version="1.0" encoding="utf-8"?>
<ds:datastoreItem xmlns:ds="http://schemas.openxmlformats.org/officeDocument/2006/customXml" ds:itemID="{1FFDA3F6-6EB5-4717-8655-0A81BED9F6AF}"/>
</file>

<file path=docProps/app.xml><?xml version="1.0" encoding="utf-8"?>
<Properties xmlns="http://schemas.openxmlformats.org/officeDocument/2006/extended-properties" xmlns:vt="http://schemas.openxmlformats.org/officeDocument/2006/docPropsVTypes">
  <Template>1E49D7.dotm</Template>
  <TotalTime>11</TotalTime>
  <Pages>7</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keywords/>
  <cp:lastModifiedBy>David Thomas</cp:lastModifiedBy>
  <cp:revision>4</cp:revision>
  <cp:lastPrinted>2012-10-22T16:15:00Z</cp:lastPrinted>
  <dcterms:created xsi:type="dcterms:W3CDTF">2015-09-15T13:42:00Z</dcterms:created>
  <dcterms:modified xsi:type="dcterms:W3CDTF">2015-09-15T14:23:00Z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