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8A6EFB" w:rsidP="0082262D">
      <w:pPr>
        <w:pStyle w:val="Heading1"/>
        <w:spacing w:before="0" w:line="240" w:lineRule="auto"/>
      </w:pPr>
      <w:r>
        <w:t>Review of the current status of implementation of TCP/IP pr</w:t>
      </w:r>
      <w:r w:rsidR="00D36439">
        <w:t>ocedures and applications at WIS</w:t>
      </w:r>
      <w:r w:rsidR="0004453A">
        <w:t xml:space="preserve"> </w:t>
      </w:r>
      <w:r w:rsidR="004F2287">
        <w:t>centers</w:t>
      </w:r>
    </w:p>
    <w:p w:rsidR="004F2287" w:rsidRPr="004F2287" w:rsidRDefault="004F2287" w:rsidP="004F2287"/>
    <w:p w:rsidR="0004453A" w:rsidRDefault="0004453A" w:rsidP="0004453A">
      <w:pPr>
        <w:pStyle w:val="Heading2"/>
        <w:numPr>
          <w:ilvl w:val="0"/>
          <w:numId w:val="5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GTS </w:t>
      </w:r>
      <w:r w:rsidR="00895A49">
        <w:rPr>
          <w:rFonts w:eastAsia="MS Mincho"/>
          <w:lang w:eastAsia="ja-JP"/>
        </w:rPr>
        <w:t>Links</w:t>
      </w:r>
    </w:p>
    <w:p w:rsidR="00DE4164" w:rsidRDefault="0004453A" w:rsidP="0004453A">
      <w:pPr>
        <w:ind w:left="360"/>
        <w:rPr>
          <w:lang w:eastAsia="ja-JP"/>
        </w:rPr>
      </w:pPr>
      <w:r w:rsidRPr="0004453A">
        <w:rPr>
          <w:lang w:eastAsia="ja-JP"/>
        </w:rPr>
        <w:t>Current s</w:t>
      </w:r>
      <w:r w:rsidR="00DE4164">
        <w:rPr>
          <w:lang w:eastAsia="ja-JP"/>
        </w:rPr>
        <w:t xml:space="preserve">tatus of GTS </w:t>
      </w:r>
      <w:r w:rsidR="00895A49">
        <w:rPr>
          <w:lang w:eastAsia="ja-JP"/>
        </w:rPr>
        <w:t>links</w:t>
      </w:r>
      <w:r w:rsidR="00DE4164">
        <w:rPr>
          <w:lang w:eastAsia="ja-JP"/>
        </w:rPr>
        <w:t xml:space="preserve"> connected:</w:t>
      </w:r>
    </w:p>
    <w:p w:rsidR="00DE4164" w:rsidRDefault="00DE4164" w:rsidP="0004453A">
      <w:pPr>
        <w:ind w:left="360"/>
        <w:rPr>
          <w:lang w:eastAsia="ja-JP"/>
        </w:rPr>
      </w:pPr>
      <w:r>
        <w:rPr>
          <w:lang w:eastAsia="ja-JP"/>
        </w:rPr>
        <w:t>OBS RMDCN link</w:t>
      </w:r>
      <w:r w:rsidR="00895A49">
        <w:rPr>
          <w:lang w:eastAsia="ja-JP"/>
        </w:rPr>
        <w:t xml:space="preserve"> 2Mbps</w:t>
      </w:r>
    </w:p>
    <w:p w:rsidR="00DE4164" w:rsidRDefault="00DE4164" w:rsidP="00895A49">
      <w:pPr>
        <w:ind w:left="720"/>
        <w:rPr>
          <w:lang w:eastAsia="ja-JP"/>
        </w:rPr>
      </w:pPr>
      <w:r>
        <w:rPr>
          <w:lang w:eastAsia="ja-JP"/>
        </w:rPr>
        <w:t xml:space="preserve">Primary and secondary data </w:t>
      </w:r>
      <w:proofErr w:type="spellStart"/>
      <w:r>
        <w:rPr>
          <w:lang w:eastAsia="ja-JP"/>
        </w:rPr>
        <w:t>centre</w:t>
      </w:r>
      <w:proofErr w:type="spellEnd"/>
      <w:r>
        <w:rPr>
          <w:lang w:eastAsia="ja-JP"/>
        </w:rPr>
        <w:t xml:space="preserve"> connections</w:t>
      </w:r>
      <w:r w:rsidR="00891817">
        <w:rPr>
          <w:lang w:eastAsia="ja-JP"/>
        </w:rPr>
        <w:t xml:space="preserve"> at 2Mbps.</w:t>
      </w:r>
      <w:r w:rsidR="00665A80">
        <w:rPr>
          <w:lang w:eastAsia="ja-JP"/>
        </w:rPr>
        <w:t xml:space="preserve"> Th</w:t>
      </w:r>
      <w:r w:rsidR="00AD3827">
        <w:rPr>
          <w:lang w:eastAsia="ja-JP"/>
        </w:rPr>
        <w:t xml:space="preserve">ese are being migrated to </w:t>
      </w:r>
      <w:proofErr w:type="spellStart"/>
      <w:r w:rsidR="00AD3827">
        <w:rPr>
          <w:lang w:eastAsia="ja-JP"/>
        </w:rPr>
        <w:t>Inte</w:t>
      </w:r>
      <w:r w:rsidR="00665A80">
        <w:rPr>
          <w:lang w:eastAsia="ja-JP"/>
        </w:rPr>
        <w:t>route</w:t>
      </w:r>
      <w:proofErr w:type="spellEnd"/>
      <w:r w:rsidR="00665A80">
        <w:rPr>
          <w:lang w:eastAsia="ja-JP"/>
        </w:rPr>
        <w:t xml:space="preserve"> RMDCN NG. Implementation of links has been delayed at the local carrier end</w:t>
      </w:r>
      <w:r w:rsidR="00AD3827">
        <w:rPr>
          <w:lang w:eastAsia="ja-JP"/>
        </w:rPr>
        <w:t xml:space="preserve"> and is scheduled in time for cutoff of RMDC</w:t>
      </w:r>
      <w:r w:rsidR="0028101A">
        <w:rPr>
          <w:lang w:eastAsia="ja-JP"/>
        </w:rPr>
        <w:t>. DMVPN will be used as a backup if delays continue – this is being testing over the coming weeks.</w:t>
      </w:r>
    </w:p>
    <w:p w:rsidR="00353D26" w:rsidRDefault="00B428F4" w:rsidP="00895A49">
      <w:pPr>
        <w:ind w:left="360"/>
        <w:rPr>
          <w:lang w:eastAsia="ja-JP"/>
        </w:rPr>
      </w:pPr>
      <w:r>
        <w:rPr>
          <w:lang w:eastAsia="ja-JP"/>
        </w:rPr>
        <w:t xml:space="preserve">Internet </w:t>
      </w:r>
      <w:r w:rsidR="007A7362">
        <w:rPr>
          <w:lang w:eastAsia="ja-JP"/>
        </w:rPr>
        <w:t>Link</w:t>
      </w:r>
      <w:r w:rsidR="00895A49">
        <w:rPr>
          <w:lang w:eastAsia="ja-JP"/>
        </w:rPr>
        <w:t xml:space="preserve"> </w:t>
      </w:r>
      <w:r w:rsidR="00353D26">
        <w:rPr>
          <w:lang w:eastAsia="ja-JP"/>
        </w:rPr>
        <w:t xml:space="preserve">  </w:t>
      </w:r>
      <w:r w:rsidR="00C421DD">
        <w:rPr>
          <w:lang w:eastAsia="ja-JP"/>
        </w:rPr>
        <w:t>25</w:t>
      </w:r>
      <w:r w:rsidR="00891817">
        <w:rPr>
          <w:lang w:eastAsia="ja-JP"/>
        </w:rPr>
        <w:t xml:space="preserve">0 Mbps </w:t>
      </w:r>
    </w:p>
    <w:p w:rsidR="00412975" w:rsidRDefault="00353D26" w:rsidP="00353D26">
      <w:pPr>
        <w:ind w:left="720"/>
        <w:rPr>
          <w:lang w:eastAsia="ja-JP"/>
        </w:rPr>
      </w:pPr>
      <w:r>
        <w:rPr>
          <w:lang w:eastAsia="ja-JP"/>
        </w:rPr>
        <w:t xml:space="preserve">Primary and secondary data </w:t>
      </w:r>
      <w:proofErr w:type="spellStart"/>
      <w:r>
        <w:rPr>
          <w:lang w:eastAsia="ja-JP"/>
        </w:rPr>
        <w:t>centre</w:t>
      </w:r>
      <w:proofErr w:type="spellEnd"/>
      <w:r>
        <w:rPr>
          <w:lang w:eastAsia="ja-JP"/>
        </w:rPr>
        <w:t xml:space="preserve"> connections</w:t>
      </w:r>
    </w:p>
    <w:p w:rsidR="00934544" w:rsidRDefault="00934544" w:rsidP="00CA6217">
      <w:pPr>
        <w:ind w:left="360"/>
        <w:rPr>
          <w:lang w:eastAsia="ja-JP"/>
        </w:rPr>
      </w:pPr>
      <w:proofErr w:type="spellStart"/>
      <w:proofErr w:type="gramStart"/>
      <w:r>
        <w:rPr>
          <w:lang w:eastAsia="ja-JP"/>
        </w:rPr>
        <w:t>Noumea</w:t>
      </w:r>
      <w:proofErr w:type="spellEnd"/>
      <w:r>
        <w:rPr>
          <w:lang w:eastAsia="ja-JP"/>
        </w:rPr>
        <w:t xml:space="preserve">   </w:t>
      </w:r>
      <w:r w:rsidR="009921F8">
        <w:rPr>
          <w:lang w:eastAsia="ja-JP"/>
        </w:rPr>
        <w:t>1mbps????</w:t>
      </w:r>
      <w:proofErr w:type="gramEnd"/>
      <w:r w:rsidR="009921F8">
        <w:rPr>
          <w:lang w:eastAsia="ja-JP"/>
        </w:rPr>
        <w:t xml:space="preserve"> OPT</w:t>
      </w:r>
    </w:p>
    <w:p w:rsidR="00CA6217" w:rsidRDefault="00D94D20" w:rsidP="00CA6217">
      <w:pPr>
        <w:ind w:left="360"/>
        <w:rPr>
          <w:lang w:eastAsia="ja-JP"/>
        </w:rPr>
      </w:pPr>
      <w:proofErr w:type="gramStart"/>
      <w:r>
        <w:rPr>
          <w:lang w:eastAsia="ja-JP"/>
        </w:rPr>
        <w:t xml:space="preserve">Jakarta </w:t>
      </w:r>
      <w:r w:rsidR="00B428F4">
        <w:rPr>
          <w:lang w:eastAsia="ja-JP"/>
        </w:rPr>
        <w:t xml:space="preserve"> </w:t>
      </w:r>
      <w:r w:rsidR="00412975">
        <w:rPr>
          <w:lang w:eastAsia="ja-JP"/>
        </w:rPr>
        <w:t>&amp;</w:t>
      </w:r>
      <w:proofErr w:type="gramEnd"/>
      <w:r w:rsidR="00412975">
        <w:rPr>
          <w:lang w:eastAsia="ja-JP"/>
        </w:rPr>
        <w:t xml:space="preserve"> Singapore </w:t>
      </w:r>
      <w:r w:rsidR="00353D26">
        <w:rPr>
          <w:lang w:eastAsia="ja-JP"/>
        </w:rPr>
        <w:t xml:space="preserve">   </w:t>
      </w:r>
      <w:r w:rsidR="00B428F4">
        <w:rPr>
          <w:lang w:eastAsia="ja-JP"/>
        </w:rPr>
        <w:t xml:space="preserve">64kbps </w:t>
      </w:r>
      <w:proofErr w:type="spellStart"/>
      <w:r w:rsidR="00B428F4">
        <w:rPr>
          <w:lang w:eastAsia="ja-JP"/>
        </w:rPr>
        <w:t>Singtel</w:t>
      </w:r>
      <w:proofErr w:type="spellEnd"/>
      <w:r w:rsidR="00B428F4">
        <w:rPr>
          <w:lang w:eastAsia="ja-JP"/>
        </w:rPr>
        <w:t xml:space="preserve"> VPLS</w:t>
      </w:r>
    </w:p>
    <w:p w:rsidR="00891817" w:rsidRDefault="00B428F4" w:rsidP="00CA6217">
      <w:pPr>
        <w:ind w:left="360"/>
        <w:rPr>
          <w:lang w:eastAsia="ja-JP"/>
        </w:rPr>
      </w:pPr>
      <w:proofErr w:type="gramStart"/>
      <w:r>
        <w:rPr>
          <w:lang w:eastAsia="ja-JP"/>
        </w:rPr>
        <w:t>Fiji</w:t>
      </w:r>
      <w:r w:rsidR="00CA6217">
        <w:rPr>
          <w:lang w:eastAsia="ja-JP"/>
        </w:rPr>
        <w:t xml:space="preserve">  64</w:t>
      </w:r>
      <w:r>
        <w:rPr>
          <w:lang w:eastAsia="ja-JP"/>
        </w:rPr>
        <w:t>kbps</w:t>
      </w:r>
      <w:proofErr w:type="gramEnd"/>
    </w:p>
    <w:p w:rsidR="00A009DF" w:rsidRDefault="00A009DF" w:rsidP="00A009DF">
      <w:pPr>
        <w:pStyle w:val="Heading2"/>
        <w:numPr>
          <w:ilvl w:val="0"/>
          <w:numId w:val="5"/>
        </w:numPr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Internet.</w:t>
      </w:r>
      <w:proofErr w:type="gramEnd"/>
    </w:p>
    <w:p w:rsidR="00A009DF" w:rsidRPr="00A009DF" w:rsidRDefault="007A7362" w:rsidP="00A009DF">
      <w:pPr>
        <w:ind w:left="360"/>
        <w:rPr>
          <w:lang w:eastAsia="ja-JP"/>
        </w:rPr>
      </w:pPr>
      <w:r>
        <w:rPr>
          <w:lang w:eastAsia="ja-JP"/>
        </w:rPr>
        <w:t>Current 25</w:t>
      </w:r>
      <w:r w:rsidR="00A009DF">
        <w:rPr>
          <w:lang w:eastAsia="ja-JP"/>
        </w:rPr>
        <w:t xml:space="preserve">0 Mbps internet links and primary and secondary data </w:t>
      </w:r>
      <w:proofErr w:type="spellStart"/>
      <w:r w:rsidR="00A009DF">
        <w:rPr>
          <w:lang w:eastAsia="ja-JP"/>
        </w:rPr>
        <w:t>centres</w:t>
      </w:r>
      <w:proofErr w:type="spellEnd"/>
      <w:r w:rsidR="00A009DF">
        <w:rPr>
          <w:lang w:eastAsia="ja-JP"/>
        </w:rPr>
        <w:t xml:space="preserve"> will be migrated to a new Australian Federal Government Co</w:t>
      </w:r>
      <w:r w:rsidR="00412975">
        <w:rPr>
          <w:lang w:eastAsia="ja-JP"/>
        </w:rPr>
        <w:t>nsolidated Gateway during 2014.</w:t>
      </w:r>
    </w:p>
    <w:p w:rsidR="00CD5900" w:rsidRDefault="00CD5900" w:rsidP="00CD5900">
      <w:pPr>
        <w:pStyle w:val="Heading2"/>
        <w:numPr>
          <w:ilvl w:val="0"/>
          <w:numId w:val="5"/>
        </w:numPr>
        <w:rPr>
          <w:rFonts w:eastAsia="MS Mincho"/>
          <w:lang w:eastAsia="ja-JP"/>
        </w:rPr>
      </w:pPr>
      <w:bookmarkStart w:id="0" w:name="_GoBack"/>
      <w:bookmarkEnd w:id="0"/>
      <w:proofErr w:type="gramStart"/>
      <w:r>
        <w:rPr>
          <w:rFonts w:eastAsia="MS Mincho" w:hint="eastAsia"/>
          <w:lang w:eastAsia="ja-JP"/>
        </w:rPr>
        <w:t xml:space="preserve">Current </w:t>
      </w:r>
      <w:proofErr w:type="spellStart"/>
      <w:r>
        <w:rPr>
          <w:rFonts w:eastAsia="MS Mincho"/>
          <w:lang w:eastAsia="ja-JP"/>
        </w:rPr>
        <w:t>utilisation</w:t>
      </w:r>
      <w:proofErr w:type="spellEnd"/>
      <w:r>
        <w:rPr>
          <w:rFonts w:eastAsia="MS Mincho" w:hint="eastAsia"/>
          <w:lang w:eastAsia="ja-JP"/>
        </w:rPr>
        <w:t xml:space="preserve"> of </w:t>
      </w:r>
      <w:r>
        <w:rPr>
          <w:rFonts w:eastAsia="MS Mincho"/>
          <w:lang w:eastAsia="ja-JP"/>
        </w:rPr>
        <w:t>RMDCN circuit</w:t>
      </w:r>
      <w:r w:rsidR="00DE4164">
        <w:rPr>
          <w:rFonts w:eastAsia="MS Mincho"/>
          <w:lang w:eastAsia="ja-JP"/>
        </w:rPr>
        <w:t>.</w:t>
      </w:r>
      <w:proofErr w:type="gramEnd"/>
    </w:p>
    <w:p w:rsidR="00DE4164" w:rsidRDefault="00DE4164" w:rsidP="00C06D65">
      <w:pPr>
        <w:jc w:val="both"/>
      </w:pPr>
      <w:r>
        <w:t xml:space="preserve">OBS RMDCN link </w:t>
      </w:r>
    </w:p>
    <w:p w:rsidR="0028101A" w:rsidRDefault="0028101A" w:rsidP="0028101A">
      <w:pPr>
        <w:ind w:left="360"/>
        <w:rPr>
          <w:lang w:eastAsia="ja-JP"/>
        </w:rPr>
      </w:pPr>
      <w:proofErr w:type="gramStart"/>
      <w:r>
        <w:rPr>
          <w:lang w:eastAsia="ja-JP"/>
        </w:rPr>
        <w:t>Currently running at 3g per day in, and 1 gig per day out.</w:t>
      </w:r>
      <w:proofErr w:type="gramEnd"/>
    </w:p>
    <w:p w:rsidR="0028101A" w:rsidRDefault="0028101A" w:rsidP="0028101A">
      <w:pPr>
        <w:ind w:left="360"/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024335CB" wp14:editId="67736072">
            <wp:extent cx="5943600" cy="6419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ccf-gw-external,3_BitsPerSecond_139510475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57324" wp14:editId="534EFC7A">
            <wp:extent cx="3040644" cy="1226926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ccf-gw-external,3_Bytes_139510519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644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27" w:rsidRDefault="00AD3827" w:rsidP="00A009DF">
      <w:pPr>
        <w:rPr>
          <w:lang w:eastAsia="ja-JP"/>
        </w:rPr>
      </w:pPr>
      <w:r>
        <w:rPr>
          <w:lang w:eastAsia="ja-JP"/>
        </w:rPr>
        <w:t>Internet</w:t>
      </w:r>
    </w:p>
    <w:p w:rsidR="00AD3827" w:rsidRDefault="00C421DD" w:rsidP="00A009DF">
      <w:pPr>
        <w:rPr>
          <w:lang w:eastAsia="ja-JP"/>
        </w:rPr>
      </w:pPr>
      <w:r>
        <w:rPr>
          <w:noProof/>
        </w:rPr>
        <w:drawing>
          <wp:inline distT="0" distB="0" distL="0" distR="0">
            <wp:extent cx="4206605" cy="1226926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ccf-gw-internet,2_BitsPerSecond_139525897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605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27" w:rsidRDefault="00AD3827" w:rsidP="00A009DF">
      <w:pPr>
        <w:rPr>
          <w:lang w:eastAsia="ja-JP"/>
        </w:rPr>
      </w:pPr>
    </w:p>
    <w:p w:rsidR="0028101A" w:rsidRDefault="0028101A" w:rsidP="00A009DF">
      <w:pPr>
        <w:rPr>
          <w:lang w:eastAsia="ja-JP"/>
        </w:rPr>
      </w:pPr>
      <w:proofErr w:type="spellStart"/>
      <w:r>
        <w:rPr>
          <w:lang w:eastAsia="ja-JP"/>
        </w:rPr>
        <w:t>Noumea</w:t>
      </w:r>
      <w:proofErr w:type="spellEnd"/>
    </w:p>
    <w:p w:rsidR="0028101A" w:rsidRDefault="0028101A" w:rsidP="0028101A">
      <w:pPr>
        <w:ind w:left="360"/>
        <w:rPr>
          <w:lang w:eastAsia="ja-JP"/>
        </w:rPr>
      </w:pPr>
      <w:r>
        <w:rPr>
          <w:noProof/>
        </w:rPr>
        <w:drawing>
          <wp:inline distT="0" distB="0" distL="0" distR="0" wp14:anchorId="1838AA57" wp14:editId="50EB9329">
            <wp:extent cx="5943600" cy="6419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ccf-gw-external,1_BitsPerSecond_1395104753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1A" w:rsidRDefault="0028101A" w:rsidP="00A009DF">
      <w:pPr>
        <w:rPr>
          <w:lang w:eastAsia="ja-JP"/>
        </w:rPr>
      </w:pPr>
      <w:proofErr w:type="spellStart"/>
      <w:r>
        <w:rPr>
          <w:lang w:eastAsia="ja-JP"/>
        </w:rPr>
        <w:t>Singtel</w:t>
      </w:r>
      <w:proofErr w:type="spellEnd"/>
      <w:r>
        <w:rPr>
          <w:lang w:eastAsia="ja-JP"/>
        </w:rPr>
        <w:t xml:space="preserve">  </w:t>
      </w:r>
    </w:p>
    <w:p w:rsidR="0028101A" w:rsidRDefault="0028101A" w:rsidP="0028101A">
      <w:pPr>
        <w:ind w:left="360"/>
        <w:rPr>
          <w:lang w:eastAsia="ja-JP"/>
        </w:rPr>
      </w:pPr>
      <w:r>
        <w:rPr>
          <w:lang w:eastAsia="ja-JP"/>
        </w:rPr>
        <w:t>This link is highly utilized at 64kbbs</w:t>
      </w:r>
    </w:p>
    <w:p w:rsidR="0028101A" w:rsidRDefault="0028101A" w:rsidP="0028101A">
      <w:pPr>
        <w:ind w:left="360"/>
        <w:rPr>
          <w:lang w:eastAsia="ja-JP"/>
        </w:rPr>
      </w:pPr>
      <w:r>
        <w:rPr>
          <w:noProof/>
        </w:rPr>
        <w:drawing>
          <wp:inline distT="0" distB="0" distL="0" distR="0" wp14:anchorId="0F88D12C" wp14:editId="0ECD359E">
            <wp:extent cx="5943600" cy="641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ccf-gw-external,7_BitsPerSecond_139510475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1A" w:rsidRDefault="0028101A" w:rsidP="00A009DF">
      <w:pPr>
        <w:rPr>
          <w:lang w:eastAsia="ja-JP"/>
        </w:rPr>
      </w:pPr>
      <w:r>
        <w:rPr>
          <w:lang w:eastAsia="ja-JP"/>
        </w:rPr>
        <w:t>Fiji</w:t>
      </w:r>
    </w:p>
    <w:p w:rsidR="0028101A" w:rsidRDefault="0028101A" w:rsidP="0028101A">
      <w:pPr>
        <w:ind w:left="360"/>
        <w:rPr>
          <w:lang w:eastAsia="ja-JP"/>
        </w:rPr>
      </w:pPr>
      <w:r>
        <w:rPr>
          <w:noProof/>
        </w:rPr>
        <w:drawing>
          <wp:inline distT="0" distB="0" distL="0" distR="0" wp14:anchorId="08399E47" wp14:editId="2579C8E2">
            <wp:extent cx="5943600" cy="6419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ccf-gw-external,78_BitsPerSecond_1395104753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1A" w:rsidRDefault="0028101A" w:rsidP="0028101A">
      <w:pPr>
        <w:ind w:left="360"/>
        <w:rPr>
          <w:lang w:eastAsia="ja-JP"/>
        </w:rPr>
      </w:pPr>
    </w:p>
    <w:p w:rsidR="00DE4164" w:rsidRDefault="00DE4164" w:rsidP="00C06D65">
      <w:pPr>
        <w:jc w:val="both"/>
      </w:pPr>
    </w:p>
    <w:p w:rsidR="00DE4164" w:rsidRDefault="00DE4164" w:rsidP="00C06D65">
      <w:pPr>
        <w:jc w:val="both"/>
      </w:pPr>
    </w:p>
    <w:p w:rsidR="00DE4164" w:rsidRDefault="00DE4164" w:rsidP="00C06D65">
      <w:pPr>
        <w:jc w:val="both"/>
      </w:pPr>
    </w:p>
    <w:p w:rsidR="00921B5D" w:rsidRDefault="004F2287" w:rsidP="00921B5D">
      <w:pPr>
        <w:pStyle w:val="Heading2"/>
        <w:numPr>
          <w:ilvl w:val="0"/>
          <w:numId w:val="5"/>
        </w:numPr>
        <w:rPr>
          <w:rFonts w:eastAsia="MS Mincho"/>
          <w:lang w:eastAsia="ja-JP"/>
        </w:rPr>
      </w:pPr>
      <w:r>
        <w:t>Recommended Text</w:t>
      </w:r>
    </w:p>
    <w:p w:rsidR="00B11D06" w:rsidRDefault="00B11D06" w:rsidP="00C06D65">
      <w:pPr>
        <w:jc w:val="both"/>
        <w:rPr>
          <w:rFonts w:ascii="Times New Roman" w:hAnsi="Times New Roman" w:cs="Times New Roman"/>
          <w:sz w:val="24"/>
          <w:szCs w:val="24"/>
        </w:rPr>
      </w:pPr>
      <w:r w:rsidRPr="00B11D06">
        <w:rPr>
          <w:rFonts w:ascii="Times New Roman" w:hAnsi="Times New Roman" w:cs="Times New Roman"/>
          <w:sz w:val="24"/>
          <w:szCs w:val="24"/>
        </w:rPr>
        <w:t>Bureau of Meteorology</w:t>
      </w:r>
      <w:r>
        <w:rPr>
          <w:rFonts w:ascii="Times New Roman" w:hAnsi="Times New Roman" w:cs="Times New Roman"/>
          <w:sz w:val="24"/>
          <w:szCs w:val="24"/>
        </w:rPr>
        <w:t xml:space="preserve"> will be moving to RMDCN-NG</w:t>
      </w:r>
      <w:r w:rsidR="00665A80">
        <w:rPr>
          <w:rFonts w:ascii="Times New Roman" w:hAnsi="Times New Roman" w:cs="Times New Roman"/>
          <w:sz w:val="24"/>
          <w:szCs w:val="24"/>
        </w:rPr>
        <w:t xml:space="preserve"> in April/May 2014, and will use DMVPN as part of the transition. Internet access will be migrated to consolidated Government gateway during 2014 and should keep the same functionality.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2F" w:rsidRDefault="005E132F" w:rsidP="00BA350D">
      <w:pPr>
        <w:spacing w:after="0" w:line="240" w:lineRule="auto"/>
      </w:pPr>
      <w:r>
        <w:separator/>
      </w:r>
    </w:p>
  </w:endnote>
  <w:endnote w:type="continuationSeparator" w:id="0">
    <w:p w:rsidR="005E132F" w:rsidRDefault="005E132F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2F" w:rsidRDefault="005E132F" w:rsidP="00BA350D">
      <w:pPr>
        <w:spacing w:after="0" w:line="240" w:lineRule="auto"/>
      </w:pPr>
      <w:r>
        <w:separator/>
      </w:r>
    </w:p>
  </w:footnote>
  <w:footnote w:type="continuationSeparator" w:id="0">
    <w:p w:rsidR="005E132F" w:rsidRDefault="005E132F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62" w:rsidRDefault="00AB5362">
    <w:pPr>
      <w:pStyle w:val="Header"/>
      <w:jc w:val="center"/>
    </w:pPr>
    <w:r>
      <w:t xml:space="preserve">Document No. </w:t>
    </w:r>
    <w:r w:rsidR="00FB4DF8">
      <w:t>21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A074A">
          <w:fldChar w:fldCharType="begin"/>
        </w:r>
        <w:r w:rsidR="006A074A">
          <w:instrText xml:space="preserve"> PAGE   \* MERGEFORMAT </w:instrText>
        </w:r>
        <w:r w:rsidR="006A074A">
          <w:fldChar w:fldCharType="separate"/>
        </w:r>
        <w:r w:rsidR="00FB4DF8">
          <w:rPr>
            <w:noProof/>
          </w:rPr>
          <w:t>2</w:t>
        </w:r>
        <w:r w:rsidR="006A074A"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AB5362" w:rsidRDefault="00AB5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87" w:rsidRDefault="004F2287">
    <w:pPr>
      <w:pStyle w:val="Header"/>
    </w:pPr>
  </w:p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4F2287" w:rsidRPr="00812884" w:rsidTr="00E7256A">
      <w:trPr>
        <w:cantSplit/>
        <w:trHeight w:val="1438"/>
      </w:trPr>
      <w:tc>
        <w:tcPr>
          <w:tcW w:w="4548" w:type="dxa"/>
          <w:vAlign w:val="center"/>
        </w:tcPr>
        <w:p w:rsidR="004F2287" w:rsidRPr="00683FE2" w:rsidRDefault="004F2287" w:rsidP="00E7256A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4F2287" w:rsidRPr="00812884" w:rsidRDefault="004F2287" w:rsidP="00E7256A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5pt;height:56pt" o:ole="">
                <v:imagedata r:id="rId1" o:title=""/>
              </v:shape>
              <o:OLEObject Type="Embed" ProgID="PBrush" ShapeID="_x0000_i1025" DrawAspect="Content" ObjectID="_1456774406" r:id="rId2"/>
            </w:object>
          </w:r>
        </w:p>
      </w:tc>
    </w:tr>
    <w:tr w:rsidR="004F2287" w:rsidRPr="00812884" w:rsidTr="00E7256A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4F2287" w:rsidRPr="00812884" w:rsidRDefault="004F2287" w:rsidP="00E7256A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4F2287" w:rsidRPr="00812884" w:rsidRDefault="004F2287" w:rsidP="00E7256A">
          <w:pPr>
            <w:shd w:val="solid" w:color="FFFFFF" w:fill="FFFFFF"/>
            <w:spacing w:after="48" w:line="240" w:lineRule="atLeast"/>
          </w:pPr>
        </w:p>
      </w:tc>
    </w:tr>
    <w:tr w:rsidR="004F2287" w:rsidRPr="005F7F12" w:rsidTr="00E7256A">
      <w:trPr>
        <w:cantSplit/>
        <w:trHeight w:val="312"/>
      </w:trPr>
      <w:tc>
        <w:tcPr>
          <w:tcW w:w="6228" w:type="dxa"/>
          <w:gridSpan w:val="2"/>
          <w:vMerge w:val="restart"/>
        </w:tcPr>
        <w:p w:rsidR="004F2287" w:rsidRDefault="004F2287" w:rsidP="00E7256A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(ET-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4F2287" w:rsidRPr="00BA350D" w:rsidRDefault="004F2287" w:rsidP="00DE4164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DE4164">
            <w:rPr>
              <w:rFonts w:ascii="Times New Roman" w:hAnsi="Times New Roman" w:cs="Times New Roman"/>
              <w:sz w:val="28"/>
              <w:szCs w:val="20"/>
            </w:rPr>
            <w:t>Geoffrey Molloy Bureau of Meteorology</w:t>
          </w:r>
        </w:p>
      </w:tc>
      <w:tc>
        <w:tcPr>
          <w:tcW w:w="3851" w:type="dxa"/>
        </w:tcPr>
        <w:p w:rsidR="004F2287" w:rsidRPr="000E62F7" w:rsidRDefault="004F2287" w:rsidP="00FB4DF8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ET-CTS/201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Doc[</w:t>
          </w:r>
          <w:proofErr w:type="gramEnd"/>
          <w:r w:rsidR="00FB4DF8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21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4F2287" w:rsidRPr="00812884" w:rsidTr="00E7256A">
      <w:trPr>
        <w:cantSplit/>
        <w:trHeight w:val="81"/>
      </w:trPr>
      <w:tc>
        <w:tcPr>
          <w:tcW w:w="6228" w:type="dxa"/>
          <w:gridSpan w:val="2"/>
          <w:vMerge/>
        </w:tcPr>
        <w:p w:rsidR="004F2287" w:rsidRPr="000E62F7" w:rsidRDefault="004F2287" w:rsidP="00E7256A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4F2287" w:rsidRPr="0013270C" w:rsidRDefault="00DE4164" w:rsidP="00E7256A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A009D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9</w:t>
          </w:r>
          <w:r w:rsidR="004F228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March</w:t>
          </w:r>
          <w:r w:rsidR="004F2287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4F228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4F2287" w:rsidRDefault="004F2287" w:rsidP="004F2287">
    <w:pPr>
      <w:pStyle w:val="Header"/>
    </w:pPr>
  </w:p>
  <w:p w:rsidR="004F2287" w:rsidRDefault="004F2287">
    <w:pPr>
      <w:pStyle w:val="Header"/>
    </w:pPr>
  </w:p>
  <w:p w:rsidR="00AB5362" w:rsidRDefault="00AB5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6C"/>
    <w:multiLevelType w:val="hybridMultilevel"/>
    <w:tmpl w:val="CE10CD94"/>
    <w:lvl w:ilvl="0" w:tplc="26260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FB2CC6"/>
    <w:multiLevelType w:val="hybridMultilevel"/>
    <w:tmpl w:val="A6F6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05BD"/>
    <w:multiLevelType w:val="hybridMultilevel"/>
    <w:tmpl w:val="8168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14901"/>
    <w:multiLevelType w:val="hybridMultilevel"/>
    <w:tmpl w:val="F44A4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2449"/>
    <w:multiLevelType w:val="hybridMultilevel"/>
    <w:tmpl w:val="640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776C8"/>
    <w:multiLevelType w:val="hybridMultilevel"/>
    <w:tmpl w:val="F1503B1C"/>
    <w:lvl w:ilvl="0" w:tplc="65144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0A15"/>
    <w:rsid w:val="00016F2F"/>
    <w:rsid w:val="0004453A"/>
    <w:rsid w:val="0006737A"/>
    <w:rsid w:val="000C5B6E"/>
    <w:rsid w:val="000E5843"/>
    <w:rsid w:val="000E62F7"/>
    <w:rsid w:val="0013270C"/>
    <w:rsid w:val="00170C2F"/>
    <w:rsid w:val="001A3866"/>
    <w:rsid w:val="001A7EB8"/>
    <w:rsid w:val="001C19F6"/>
    <w:rsid w:val="00225B8A"/>
    <w:rsid w:val="0023284B"/>
    <w:rsid w:val="00251A8C"/>
    <w:rsid w:val="00265CCA"/>
    <w:rsid w:val="0028101A"/>
    <w:rsid w:val="00283E60"/>
    <w:rsid w:val="002E461E"/>
    <w:rsid w:val="00302A95"/>
    <w:rsid w:val="00321E82"/>
    <w:rsid w:val="00353D26"/>
    <w:rsid w:val="003730B6"/>
    <w:rsid w:val="00382768"/>
    <w:rsid w:val="003932D4"/>
    <w:rsid w:val="00393854"/>
    <w:rsid w:val="00393973"/>
    <w:rsid w:val="00412975"/>
    <w:rsid w:val="00456F30"/>
    <w:rsid w:val="0046426C"/>
    <w:rsid w:val="004B2380"/>
    <w:rsid w:val="004B37C9"/>
    <w:rsid w:val="004C452C"/>
    <w:rsid w:val="004F2287"/>
    <w:rsid w:val="004F6708"/>
    <w:rsid w:val="00511FE7"/>
    <w:rsid w:val="00575373"/>
    <w:rsid w:val="00587F59"/>
    <w:rsid w:val="005A3D8C"/>
    <w:rsid w:val="005A6A05"/>
    <w:rsid w:val="005B3077"/>
    <w:rsid w:val="005E132F"/>
    <w:rsid w:val="00607139"/>
    <w:rsid w:val="006213C8"/>
    <w:rsid w:val="00665A80"/>
    <w:rsid w:val="0067003E"/>
    <w:rsid w:val="006A074A"/>
    <w:rsid w:val="006A75A7"/>
    <w:rsid w:val="006D5AC0"/>
    <w:rsid w:val="00711EBB"/>
    <w:rsid w:val="007422A7"/>
    <w:rsid w:val="00752843"/>
    <w:rsid w:val="00761837"/>
    <w:rsid w:val="00785D74"/>
    <w:rsid w:val="007A7362"/>
    <w:rsid w:val="007D3BFE"/>
    <w:rsid w:val="0082262D"/>
    <w:rsid w:val="00846B43"/>
    <w:rsid w:val="0088590E"/>
    <w:rsid w:val="00891817"/>
    <w:rsid w:val="00895A49"/>
    <w:rsid w:val="008A6EFB"/>
    <w:rsid w:val="008C157E"/>
    <w:rsid w:val="008E168D"/>
    <w:rsid w:val="00921B5D"/>
    <w:rsid w:val="00934544"/>
    <w:rsid w:val="0094789B"/>
    <w:rsid w:val="00961E2B"/>
    <w:rsid w:val="009921F8"/>
    <w:rsid w:val="009C7A58"/>
    <w:rsid w:val="00A00008"/>
    <w:rsid w:val="00A009DF"/>
    <w:rsid w:val="00A25CFC"/>
    <w:rsid w:val="00A27A48"/>
    <w:rsid w:val="00A35B08"/>
    <w:rsid w:val="00A72131"/>
    <w:rsid w:val="00A85E72"/>
    <w:rsid w:val="00AA6613"/>
    <w:rsid w:val="00AB5362"/>
    <w:rsid w:val="00AD2A83"/>
    <w:rsid w:val="00AD3827"/>
    <w:rsid w:val="00AE7846"/>
    <w:rsid w:val="00B00673"/>
    <w:rsid w:val="00B02158"/>
    <w:rsid w:val="00B11D06"/>
    <w:rsid w:val="00B142D9"/>
    <w:rsid w:val="00B36904"/>
    <w:rsid w:val="00B428F4"/>
    <w:rsid w:val="00B439DE"/>
    <w:rsid w:val="00B671C6"/>
    <w:rsid w:val="00BA350D"/>
    <w:rsid w:val="00BE2083"/>
    <w:rsid w:val="00C06D65"/>
    <w:rsid w:val="00C122D1"/>
    <w:rsid w:val="00C421DD"/>
    <w:rsid w:val="00C50F53"/>
    <w:rsid w:val="00C5333A"/>
    <w:rsid w:val="00CA6217"/>
    <w:rsid w:val="00CB07D7"/>
    <w:rsid w:val="00CB46F8"/>
    <w:rsid w:val="00CB6D6D"/>
    <w:rsid w:val="00CC6805"/>
    <w:rsid w:val="00CD5900"/>
    <w:rsid w:val="00CF7953"/>
    <w:rsid w:val="00D36439"/>
    <w:rsid w:val="00D50DB8"/>
    <w:rsid w:val="00D55749"/>
    <w:rsid w:val="00D55E67"/>
    <w:rsid w:val="00D74C0B"/>
    <w:rsid w:val="00D94D20"/>
    <w:rsid w:val="00DC551A"/>
    <w:rsid w:val="00DE4164"/>
    <w:rsid w:val="00DE45A1"/>
    <w:rsid w:val="00DF4951"/>
    <w:rsid w:val="00E86772"/>
    <w:rsid w:val="00E95BCE"/>
    <w:rsid w:val="00EA436E"/>
    <w:rsid w:val="00F04E5E"/>
    <w:rsid w:val="00F119B8"/>
    <w:rsid w:val="00F8649F"/>
    <w:rsid w:val="00FB1B3E"/>
    <w:rsid w:val="00FB4DF8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D565C-F315-4F02-ADDD-AA64E2E3C223}"/>
</file>

<file path=customXml/itemProps2.xml><?xml version="1.0" encoding="utf-8"?>
<ds:datastoreItem xmlns:ds="http://schemas.openxmlformats.org/officeDocument/2006/customXml" ds:itemID="{8F6B4720-4A49-4665-B731-0008431A166E}"/>
</file>

<file path=customXml/itemProps3.xml><?xml version="1.0" encoding="utf-8"?>
<ds:datastoreItem xmlns:ds="http://schemas.openxmlformats.org/officeDocument/2006/customXml" ds:itemID="{9669934A-0E14-48D9-A968-82F1C927A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ET-CTS 2104</vt:lpstr>
      <vt:lpstr/>
    </vt:vector>
  </TitlesOfParts>
  <Company>WMO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2104</dc:title>
  <dc:subject>status of implementation of TCP/IP procedures and applications at WIS centers</dc:subject>
  <dc:creator>Geoff Molloy</dc:creator>
  <cp:lastModifiedBy>David Thomas</cp:lastModifiedBy>
  <cp:revision>3</cp:revision>
  <cp:lastPrinted>2014-03-05T08:41:00Z</cp:lastPrinted>
  <dcterms:created xsi:type="dcterms:W3CDTF">2014-03-19T21:45:00Z</dcterms:created>
  <dcterms:modified xsi:type="dcterms:W3CDTF">2014-03-19T21:47:00Z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