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812884">
        <w:trPr>
          <w:cantSplit/>
          <w:trHeight w:val="1438"/>
        </w:trPr>
        <w:tc>
          <w:tcPr>
            <w:tcW w:w="4548" w:type="dxa"/>
            <w:vAlign w:val="center"/>
          </w:tcPr>
          <w:p w:rsidR="00701FDB" w:rsidRPr="00FF7038" w:rsidRDefault="00701FDB" w:rsidP="00E92931">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701FDB" w:rsidRPr="00683FE2" w:rsidRDefault="00701FDB" w:rsidP="00E92931">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483" w:type="dxa"/>
            <w:gridSpan w:val="4"/>
            <w:tcMar>
              <w:left w:w="6" w:type="dxa"/>
              <w:right w:w="6" w:type="dxa"/>
            </w:tcMar>
          </w:tcPr>
          <w:p w:rsidR="00701FDB" w:rsidRPr="00812884" w:rsidRDefault="00E33512" w:rsidP="00E33512">
            <w:pPr>
              <w:shd w:val="solid" w:color="FFFFFF" w:fill="FFFFFF"/>
              <w:spacing w:before="240" w:beforeAutospacing="0" w:after="0" w:afterAutospacing="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05pt;height:55.9pt" o:ole="">
                  <v:imagedata r:id="rId9" o:title=""/>
                </v:shape>
                <o:OLEObject Type="Embed" ProgID="PBrush" ShapeID="_x0000_i1025" DrawAspect="Content" ObjectID="_1455606520" r:id="rId10"/>
              </w:object>
            </w:r>
          </w:p>
        </w:tc>
      </w:tr>
      <w:tr w:rsidR="00701FDB" w:rsidRPr="00812884">
        <w:trPr>
          <w:cantSplit/>
        </w:trPr>
        <w:tc>
          <w:tcPr>
            <w:tcW w:w="6228" w:type="dxa"/>
            <w:gridSpan w:val="2"/>
            <w:tcBorders>
              <w:top w:val="single" w:sz="12" w:space="0" w:color="auto"/>
            </w:tcBorders>
          </w:tcPr>
          <w:p w:rsidR="00701FDB" w:rsidRPr="00812884" w:rsidRDefault="00701FDB" w:rsidP="00E33512">
            <w:pPr>
              <w:shd w:val="solid" w:color="FFFFFF" w:fill="FFFFFF"/>
              <w:spacing w:after="48"/>
              <w:rPr>
                <w:rFonts w:ascii="Verdana" w:hAnsi="Verdana" w:cs="Verdana"/>
              </w:rPr>
            </w:pPr>
          </w:p>
        </w:tc>
        <w:tc>
          <w:tcPr>
            <w:tcW w:w="3803" w:type="dxa"/>
            <w:gridSpan w:val="3"/>
            <w:tcBorders>
              <w:top w:val="single" w:sz="12" w:space="0" w:color="auto"/>
            </w:tcBorders>
          </w:tcPr>
          <w:p w:rsidR="00701FDB" w:rsidRPr="00812884" w:rsidRDefault="00701FDB" w:rsidP="00E33512">
            <w:pPr>
              <w:shd w:val="solid" w:color="FFFFFF" w:fill="FFFFFF"/>
              <w:spacing w:after="48" w:line="240" w:lineRule="atLeast"/>
            </w:pPr>
          </w:p>
        </w:tc>
      </w:tr>
      <w:tr w:rsidR="00682FE9" w:rsidRPr="00812884">
        <w:trPr>
          <w:cantSplit/>
          <w:trHeight w:val="83"/>
        </w:trPr>
        <w:tc>
          <w:tcPr>
            <w:tcW w:w="6228" w:type="dxa"/>
            <w:gridSpan w:val="2"/>
            <w:vMerge w:val="restart"/>
          </w:tcPr>
          <w:p w:rsidR="00682FE9" w:rsidRPr="00872AB2" w:rsidRDefault="00872AB2" w:rsidP="00872AB2">
            <w:pPr>
              <w:shd w:val="solid" w:color="FFFFFF" w:fill="FFFFFF"/>
              <w:spacing w:after="240"/>
              <w:rPr>
                <w:rFonts w:ascii="Verdana" w:hAnsi="Verdana" w:cs="Verdana"/>
                <w:b/>
                <w:sz w:val="20"/>
                <w:szCs w:val="20"/>
              </w:rPr>
            </w:pPr>
            <w:bookmarkStart w:id="1" w:name="recibido"/>
            <w:bookmarkStart w:id="2" w:name="dnum" w:colFirst="1" w:colLast="1"/>
            <w:bookmarkEnd w:id="1"/>
            <w:r w:rsidRPr="00872AB2">
              <w:rPr>
                <w:rFonts w:ascii="Verdana" w:hAnsi="Verdana" w:cs="Verdana"/>
                <w:b/>
                <w:sz w:val="20"/>
                <w:szCs w:val="20"/>
              </w:rPr>
              <w:t xml:space="preserve">Steering Group on Radio Frequency </w:t>
            </w:r>
            <w:r>
              <w:rPr>
                <w:rFonts w:ascii="Verdana" w:hAnsi="Verdana" w:cs="Verdana"/>
                <w:b/>
                <w:sz w:val="20"/>
                <w:szCs w:val="20"/>
              </w:rPr>
              <w:br/>
            </w:r>
            <w:r w:rsidRPr="00872AB2">
              <w:rPr>
                <w:rFonts w:ascii="Verdana" w:hAnsi="Verdana" w:cs="Verdana"/>
                <w:b/>
                <w:sz w:val="20"/>
                <w:szCs w:val="20"/>
              </w:rPr>
              <w:t>Coordination (SG-RFC)</w:t>
            </w:r>
          </w:p>
          <w:p w:rsidR="00872AB2" w:rsidRPr="0044117D" w:rsidRDefault="006F650D" w:rsidP="006F650D">
            <w:pPr>
              <w:shd w:val="solid" w:color="FFFFFF" w:fill="FFFFFF"/>
              <w:spacing w:after="240"/>
              <w:rPr>
                <w:rFonts w:ascii="Verdana" w:hAnsi="Verdana" w:cs="Verdana"/>
                <w:sz w:val="20"/>
                <w:szCs w:val="20"/>
              </w:rPr>
            </w:pPr>
            <w:r>
              <w:rPr>
                <w:rFonts w:ascii="Verdana" w:hAnsi="Verdana" w:cs="Verdana"/>
                <w:b/>
                <w:sz w:val="20"/>
                <w:szCs w:val="20"/>
              </w:rPr>
              <w:t>Boulder, Colorado. USA</w:t>
            </w:r>
            <w:r w:rsidR="00872AB2" w:rsidRPr="00872AB2">
              <w:rPr>
                <w:rFonts w:ascii="Verdana" w:hAnsi="Verdana" w:cs="Verdana"/>
                <w:b/>
                <w:sz w:val="20"/>
                <w:szCs w:val="20"/>
              </w:rPr>
              <w:t xml:space="preserve">. </w:t>
            </w:r>
            <w:r>
              <w:rPr>
                <w:rFonts w:ascii="Verdana" w:hAnsi="Verdana" w:cs="Verdana"/>
                <w:b/>
                <w:sz w:val="20"/>
                <w:szCs w:val="20"/>
              </w:rPr>
              <w:t>11-13</w:t>
            </w:r>
            <w:r w:rsidR="00872AB2" w:rsidRPr="00872AB2">
              <w:rPr>
                <w:rFonts w:ascii="Verdana" w:hAnsi="Verdana" w:cs="Verdana"/>
                <w:b/>
                <w:sz w:val="20"/>
                <w:szCs w:val="20"/>
              </w:rPr>
              <w:t xml:space="preserve"> March 2014</w:t>
            </w:r>
            <w:r w:rsidR="00872AB2">
              <w:rPr>
                <w:rFonts w:ascii="Verdana" w:hAnsi="Verdana" w:cs="Verdana"/>
                <w:b/>
                <w:sz w:val="20"/>
                <w:szCs w:val="20"/>
              </w:rPr>
              <w:t>.</w:t>
            </w:r>
          </w:p>
        </w:tc>
        <w:tc>
          <w:tcPr>
            <w:tcW w:w="3803" w:type="dxa"/>
            <w:gridSpan w:val="3"/>
          </w:tcPr>
          <w:p w:rsidR="00682FE9" w:rsidRPr="007A7EA5" w:rsidRDefault="00682FE9" w:rsidP="00C66F97">
            <w:pPr>
              <w:shd w:val="solid" w:color="FFFFFF" w:fill="FFFFFF"/>
              <w:spacing w:line="240" w:lineRule="atLeast"/>
              <w:rPr>
                <w:rFonts w:ascii="Verdana" w:hAnsi="Verdana" w:cs="Verdana"/>
                <w:sz w:val="20"/>
                <w:szCs w:val="20"/>
                <w:lang w:eastAsia="zh-CN"/>
              </w:rPr>
            </w:pPr>
            <w:r w:rsidRPr="00812884">
              <w:rPr>
                <w:rFonts w:ascii="Verdana" w:hAnsi="Verdana" w:cs="Verdana"/>
                <w:b/>
                <w:bCs/>
                <w:sz w:val="20"/>
                <w:szCs w:val="20"/>
                <w:lang w:eastAsia="zh-CN"/>
              </w:rPr>
              <w:t xml:space="preserve">Document </w:t>
            </w:r>
            <w:r>
              <w:rPr>
                <w:rFonts w:ascii="Verdana" w:hAnsi="Verdana" w:cs="Verdana"/>
                <w:b/>
                <w:bCs/>
                <w:sz w:val="20"/>
                <w:szCs w:val="20"/>
                <w:lang w:eastAsia="zh-CN"/>
              </w:rPr>
              <w:t>SG-RFC/201</w:t>
            </w:r>
            <w:r w:rsidR="002A46EC">
              <w:rPr>
                <w:rFonts w:ascii="Verdana" w:hAnsi="Verdana" w:cs="Verdana"/>
                <w:b/>
                <w:bCs/>
                <w:sz w:val="20"/>
                <w:szCs w:val="20"/>
                <w:lang w:eastAsia="zh-CN"/>
              </w:rPr>
              <w:t>4</w:t>
            </w:r>
            <w:r>
              <w:rPr>
                <w:rFonts w:ascii="Verdana" w:hAnsi="Verdana" w:cs="Verdana"/>
                <w:b/>
                <w:bCs/>
                <w:sz w:val="20"/>
                <w:szCs w:val="20"/>
                <w:lang w:eastAsia="zh-CN"/>
              </w:rPr>
              <w:t>-1-</w:t>
            </w:r>
            <w:r w:rsidR="00C66F97">
              <w:rPr>
                <w:rFonts w:ascii="Verdana" w:hAnsi="Verdana" w:cs="Verdana"/>
                <w:b/>
                <w:bCs/>
                <w:sz w:val="20"/>
                <w:szCs w:val="20"/>
                <w:lang w:eastAsia="zh-CN"/>
              </w:rPr>
              <w:t>1</w:t>
            </w:r>
            <w:r w:rsidR="007566C2">
              <w:rPr>
                <w:rFonts w:ascii="Verdana" w:hAnsi="Verdana" w:cs="Verdana"/>
                <w:b/>
                <w:bCs/>
                <w:sz w:val="20"/>
                <w:szCs w:val="20"/>
                <w:lang w:eastAsia="zh-CN"/>
              </w:rPr>
              <w:t>6</w:t>
            </w:r>
          </w:p>
        </w:tc>
      </w:tr>
      <w:tr w:rsidR="00682FE9" w:rsidRPr="00812884">
        <w:trPr>
          <w:cantSplit/>
          <w:trHeight w:val="81"/>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7566C2" w:rsidP="00872AB2">
            <w:pPr>
              <w:shd w:val="solid" w:color="FFFFFF" w:fill="FFFFFF"/>
              <w:spacing w:before="0" w:line="240" w:lineRule="atLeast"/>
              <w:rPr>
                <w:rFonts w:ascii="Verdana" w:hAnsi="Verdana" w:cs="Verdana"/>
                <w:sz w:val="20"/>
                <w:szCs w:val="20"/>
                <w:lang w:eastAsia="zh-CN"/>
              </w:rPr>
            </w:pPr>
            <w:r>
              <w:rPr>
                <w:rFonts w:ascii="Verdana" w:hAnsi="Verdana" w:cs="Verdana"/>
                <w:b/>
                <w:bCs/>
                <w:sz w:val="20"/>
                <w:szCs w:val="20"/>
                <w:lang w:eastAsia="zh-CN"/>
              </w:rPr>
              <w:t>05</w:t>
            </w:r>
            <w:r w:rsidR="00C66F97" w:rsidRPr="00C66F97">
              <w:rPr>
                <w:rFonts w:ascii="Verdana" w:hAnsi="Verdana" w:cs="Verdana"/>
                <w:b/>
                <w:bCs/>
                <w:sz w:val="20"/>
                <w:szCs w:val="20"/>
                <w:lang w:eastAsia="zh-CN"/>
              </w:rPr>
              <w:t xml:space="preserve"> March</w:t>
            </w:r>
            <w:r w:rsidR="00682FE9" w:rsidRPr="00C66F97">
              <w:rPr>
                <w:rFonts w:ascii="Verdana" w:hAnsi="Verdana" w:cs="Verdana"/>
                <w:b/>
                <w:bCs/>
                <w:sz w:val="20"/>
                <w:szCs w:val="20"/>
                <w:lang w:eastAsia="zh-CN"/>
              </w:rPr>
              <w:t xml:space="preserve"> </w:t>
            </w:r>
            <w:r w:rsidR="00872AB2" w:rsidRPr="00C66F97">
              <w:rPr>
                <w:rFonts w:ascii="Verdana" w:hAnsi="Verdana" w:cs="Verdana"/>
                <w:b/>
                <w:bCs/>
                <w:sz w:val="20"/>
                <w:szCs w:val="20"/>
                <w:lang w:eastAsia="zh-CN"/>
              </w:rPr>
              <w:t>2014</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cs="Verdana"/>
                <w:b/>
                <w:bCs/>
                <w:sz w:val="20"/>
                <w:szCs w:val="20"/>
                <w:lang w:eastAsia="zh-CN"/>
              </w:rPr>
            </w:pP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2880" w:type="dxa"/>
            <w:tcBorders>
              <w:right w:val="single" w:sz="8" w:space="0" w:color="auto"/>
            </w:tcBorders>
            <w:tcMar>
              <w:top w:w="11" w:type="dxa"/>
              <w:bottom w:w="11" w:type="dxa"/>
            </w:tcMar>
            <w:vAlign w:val="center"/>
          </w:tcPr>
          <w:p w:rsidR="00682FE9" w:rsidRPr="00BC3021" w:rsidRDefault="00682FE9" w:rsidP="00E33512">
            <w:pPr>
              <w:shd w:val="solid" w:color="FFFFFF" w:fill="FFFFFF"/>
              <w:spacing w:before="0" w:line="240" w:lineRule="atLeast"/>
              <w:rPr>
                <w:rFonts w:ascii="Verdana" w:eastAsia="SimSun" w:hAnsi="Verdana" w:cs="Verdana"/>
                <w:b/>
                <w:bCs/>
                <w:sz w:val="20"/>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(Y/N)</w:t>
            </w:r>
            <w:r>
              <w:rPr>
                <w:rStyle w:val="FootnoteReference"/>
                <w:rFonts w:ascii="Verdana" w:eastAsia="SimSun" w:hAnsi="Verdana" w:cs="Verdana"/>
                <w:b/>
                <w:bCs/>
                <w:sz w:val="20"/>
                <w:szCs w:val="20"/>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r w:rsidRPr="00872AB2">
              <w:rPr>
                <w:rFonts w:ascii="Verdana" w:eastAsia="SimSun" w:hAnsi="Verdana" w:cs="Verdana"/>
                <w:b/>
                <w:bCs/>
                <w:sz w:val="20"/>
                <w:szCs w:val="20"/>
                <w:highlight w:val="yellow"/>
                <w:lang w:eastAsia="zh-CN"/>
              </w:rPr>
              <w:t>N</w:t>
            </w:r>
          </w:p>
        </w:tc>
        <w:tc>
          <w:tcPr>
            <w:tcW w:w="443" w:type="dxa"/>
            <w:tcBorders>
              <w:left w:val="single" w:sz="8" w:space="0" w:color="auto"/>
            </w:tcBorders>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p>
        </w:tc>
      </w:tr>
      <w:tr w:rsidR="00701FDB" w:rsidRPr="00812884">
        <w:trPr>
          <w:cantSplit/>
        </w:trPr>
        <w:tc>
          <w:tcPr>
            <w:tcW w:w="10031" w:type="dxa"/>
            <w:gridSpan w:val="5"/>
            <w:noWrap/>
            <w:tcMar>
              <w:left w:w="6" w:type="dxa"/>
              <w:right w:w="6" w:type="dxa"/>
            </w:tcMar>
          </w:tcPr>
          <w:p w:rsidR="00701FDB" w:rsidRPr="00924F3F" w:rsidRDefault="00701FDB" w:rsidP="00832FA4">
            <w:pPr>
              <w:pStyle w:val="Source"/>
              <w:rPr>
                <w:rFonts w:ascii="Times New Roman" w:hAnsi="Times New Roman"/>
                <w:lang w:eastAsia="zh-CN"/>
              </w:rPr>
            </w:pPr>
            <w:bookmarkStart w:id="3" w:name="dsource" w:colFirst="0" w:colLast="0"/>
            <w:bookmarkEnd w:id="2"/>
            <w:r w:rsidRPr="00924F3F">
              <w:rPr>
                <w:rFonts w:ascii="Times New Roman" w:hAnsi="Times New Roman"/>
              </w:rPr>
              <w:t>STEERING GROUP ON RADIO FREQUENCY COORDINATION (SG-RFC)</w:t>
            </w:r>
          </w:p>
        </w:tc>
      </w:tr>
      <w:tr w:rsidR="00B1454C" w:rsidRPr="00812884">
        <w:trPr>
          <w:cantSplit/>
        </w:trPr>
        <w:tc>
          <w:tcPr>
            <w:tcW w:w="10031" w:type="dxa"/>
            <w:gridSpan w:val="5"/>
          </w:tcPr>
          <w:p w:rsidR="00B1454C" w:rsidRPr="00D027EB" w:rsidRDefault="00FC7EB3" w:rsidP="00781BC4">
            <w:pPr>
              <w:pStyle w:val="RepNo"/>
              <w:rPr>
                <w:b/>
                <w:bCs/>
                <w:lang w:eastAsia="zh-CN"/>
              </w:rPr>
            </w:pPr>
            <w:bookmarkStart w:id="4" w:name="drec" w:colFirst="0" w:colLast="0"/>
            <w:bookmarkEnd w:id="3"/>
            <w:r>
              <w:rPr>
                <w:lang w:val="en-US" w:eastAsia="zh-CN"/>
              </w:rPr>
              <w:t xml:space="preserve">SG-RFC Focal Point </w:t>
            </w:r>
            <w:r w:rsidR="00781BC4">
              <w:rPr>
                <w:lang w:val="en-US" w:eastAsia="zh-CN"/>
              </w:rPr>
              <w:t xml:space="preserve">IN THE </w:t>
            </w:r>
            <w:r w:rsidR="007566C2" w:rsidRPr="007566C2">
              <w:rPr>
                <w:lang w:val="en" w:eastAsia="zh-CN"/>
              </w:rPr>
              <w:t>European Conference of Postal and Telecommunication Administrations (CEPT)</w:t>
            </w:r>
          </w:p>
        </w:tc>
      </w:tr>
      <w:tr w:rsidR="00B1454C" w:rsidRPr="00812884">
        <w:trPr>
          <w:cantSplit/>
        </w:trPr>
        <w:tc>
          <w:tcPr>
            <w:tcW w:w="10031" w:type="dxa"/>
            <w:gridSpan w:val="5"/>
          </w:tcPr>
          <w:p w:rsidR="004F0476" w:rsidRDefault="00FC7EB3" w:rsidP="007566C2">
            <w:pPr>
              <w:pStyle w:val="Reptitle"/>
              <w:rPr>
                <w:bCs w:val="0"/>
              </w:rPr>
            </w:pPr>
            <w:bookmarkStart w:id="5" w:name="dtitle1" w:colFirst="0" w:colLast="0"/>
            <w:bookmarkEnd w:id="4"/>
            <w:r>
              <w:rPr>
                <w:bCs w:val="0"/>
              </w:rPr>
              <w:t xml:space="preserve">Report on </w:t>
            </w:r>
            <w:r w:rsidR="007566C2">
              <w:rPr>
                <w:bCs w:val="0"/>
              </w:rPr>
              <w:t>CEPT</w:t>
            </w:r>
            <w:r w:rsidR="00781BC4">
              <w:rPr>
                <w:bCs w:val="0"/>
              </w:rPr>
              <w:t xml:space="preserve"> </w:t>
            </w:r>
            <w:r w:rsidR="007566C2">
              <w:rPr>
                <w:bCs w:val="0"/>
              </w:rPr>
              <w:t>Preliminary Positions</w:t>
            </w:r>
            <w:r w:rsidR="00781BC4">
              <w:rPr>
                <w:bCs w:val="0"/>
              </w:rPr>
              <w:t xml:space="preserve"> on WRC-15 Agenda Items</w:t>
            </w:r>
            <w:r w:rsidR="003D38B9">
              <w:rPr>
                <w:bCs w:val="0"/>
              </w:rPr>
              <w:t xml:space="preserve"> </w:t>
            </w:r>
          </w:p>
          <w:p w:rsidR="00B1454C" w:rsidRPr="00344376" w:rsidRDefault="003D38B9" w:rsidP="007566C2">
            <w:pPr>
              <w:pStyle w:val="Reptitle"/>
              <w:rPr>
                <w:bCs w:val="0"/>
                <w:lang w:eastAsia="zh-CN"/>
              </w:rPr>
            </w:pPr>
            <w:r>
              <w:rPr>
                <w:bCs w:val="0"/>
              </w:rPr>
              <w:t xml:space="preserve">of WMO </w:t>
            </w:r>
            <w:r w:rsidR="004F0476">
              <w:rPr>
                <w:bCs w:val="0"/>
              </w:rPr>
              <w:t xml:space="preserve">prime </w:t>
            </w:r>
            <w:r>
              <w:rPr>
                <w:bCs w:val="0"/>
              </w:rPr>
              <w:t>Interest</w:t>
            </w:r>
          </w:p>
        </w:tc>
      </w:tr>
      <w:bookmarkEnd w:id="5"/>
    </w:tbl>
    <w:p w:rsidR="00B1454C" w:rsidRDefault="00B1454C" w:rsidP="00B1454C">
      <w:pPr>
        <w:shd w:val="clear" w:color="auto" w:fill="FFFFFF"/>
        <w:spacing w:before="0" w:beforeAutospacing="0" w:after="0" w:afterAutospacing="0"/>
        <w:jc w:val="center"/>
        <w:outlineLvl w:val="1"/>
        <w:rPr>
          <w:rFonts w:ascii="Helvetica" w:hAnsi="Helvetica" w:cs="Helvetica"/>
          <w:b/>
          <w:bCs/>
          <w:sz w:val="28"/>
          <w:szCs w:val="28"/>
        </w:rPr>
      </w:pPr>
    </w:p>
    <w:p w:rsidR="00B1454C" w:rsidRDefault="00C33900" w:rsidP="00A530FD">
      <w:r>
        <w:rPr>
          <w:b/>
          <w:bCs/>
          <w:u w:val="single"/>
        </w:rPr>
        <w:t xml:space="preserve">1. </w:t>
      </w:r>
      <w:r w:rsidR="00B1454C">
        <w:rPr>
          <w:b/>
          <w:bCs/>
          <w:u w:val="single"/>
        </w:rPr>
        <w:t>Introduction</w:t>
      </w:r>
    </w:p>
    <w:p w:rsidR="00E70B8B" w:rsidRDefault="00412162" w:rsidP="00412162">
      <w:r w:rsidRPr="00412162">
        <w:t xml:space="preserve">The </w:t>
      </w:r>
      <w:r w:rsidR="007566C2">
        <w:t>third</w:t>
      </w:r>
      <w:r w:rsidRPr="00412162">
        <w:t xml:space="preserve"> meeting of </w:t>
      </w:r>
      <w:r w:rsidR="007566C2">
        <w:t xml:space="preserve">the CEPT </w:t>
      </w:r>
      <w:r w:rsidRPr="00412162">
        <w:t xml:space="preserve">Conference Preparatory Group </w:t>
      </w:r>
      <w:r w:rsidR="007566C2">
        <w:t xml:space="preserve">(CPG) </w:t>
      </w:r>
      <w:r w:rsidRPr="00412162">
        <w:t>for WRC-15</w:t>
      </w:r>
      <w:r w:rsidR="0097015B">
        <w:t xml:space="preserve"> </w:t>
      </w:r>
      <w:r w:rsidRPr="00412162">
        <w:t xml:space="preserve">was held </w:t>
      </w:r>
      <w:r w:rsidR="007566C2">
        <w:t xml:space="preserve">23 – 26 September 2013 </w:t>
      </w:r>
      <w:r w:rsidRPr="00412162">
        <w:t xml:space="preserve">in </w:t>
      </w:r>
      <w:r w:rsidR="007566C2">
        <w:t>Zagreb</w:t>
      </w:r>
      <w:r w:rsidRPr="00412162">
        <w:t xml:space="preserve">, </w:t>
      </w:r>
      <w:r w:rsidR="007566C2">
        <w:t>Croatia</w:t>
      </w:r>
      <w:r w:rsidRPr="00412162">
        <w:t xml:space="preserve">. </w:t>
      </w:r>
    </w:p>
    <w:p w:rsidR="00E70B8B" w:rsidRDefault="00B85962" w:rsidP="00412162">
      <w:r>
        <w:t xml:space="preserve">Meanwhile the CEPT preliminary positions were developed further at the relevant CPG Project Teams A, B and C </w:t>
      </w:r>
      <w:r w:rsidR="00E70B8B">
        <w:t>meetings in January</w:t>
      </w:r>
      <w:r w:rsidR="00B1445B">
        <w:t>,</w:t>
      </w:r>
      <w:r w:rsidR="00E70B8B">
        <w:t xml:space="preserve"> respectively March 2014</w:t>
      </w:r>
      <w:r w:rsidR="00B1445B">
        <w:t xml:space="preserve">. The attached table outlines the CEPT preliminary position </w:t>
      </w:r>
      <w:r>
        <w:t>for agenda items of prime in</w:t>
      </w:r>
      <w:r w:rsidR="00AA5121">
        <w:t xml:space="preserve">terest to WMO. </w:t>
      </w:r>
    </w:p>
    <w:p w:rsidR="00412162" w:rsidRPr="00412162" w:rsidRDefault="00716EFA" w:rsidP="00412162">
      <w:r>
        <w:t xml:space="preserve">The next meeting </w:t>
      </w:r>
      <w:r w:rsidR="00B85962">
        <w:t xml:space="preserve">of CPG </w:t>
      </w:r>
      <w:r>
        <w:t xml:space="preserve">is scheduled for </w:t>
      </w:r>
      <w:r w:rsidR="007566C2">
        <w:t>25 – 28 March</w:t>
      </w:r>
      <w:r>
        <w:t xml:space="preserve"> 2014 in </w:t>
      </w:r>
      <w:r w:rsidR="007566C2">
        <w:t>Riga</w:t>
      </w:r>
      <w:r>
        <w:t xml:space="preserve">, </w:t>
      </w:r>
      <w:r w:rsidR="007566C2">
        <w:t>Latvia</w:t>
      </w:r>
      <w:r w:rsidR="00B85962">
        <w:t xml:space="preserve"> were the CEPT preliminary positions as they came out of the project teams will be reviewed and agreed.</w:t>
      </w:r>
    </w:p>
    <w:p w:rsidR="005D6572" w:rsidRPr="005D6572" w:rsidRDefault="00C33900" w:rsidP="00A530FD">
      <w:pPr>
        <w:rPr>
          <w:bCs/>
        </w:rPr>
      </w:pPr>
      <w:r>
        <w:rPr>
          <w:b/>
          <w:bCs/>
          <w:u w:val="single"/>
        </w:rPr>
        <w:t>2</w:t>
      </w:r>
      <w:r w:rsidR="00A530FD">
        <w:rPr>
          <w:b/>
          <w:bCs/>
          <w:u w:val="single"/>
        </w:rPr>
        <w:t>. Action (by SG-RFC) Proposed</w:t>
      </w:r>
      <w:r w:rsidR="00A530FD" w:rsidRPr="00A530FD">
        <w:rPr>
          <w:bCs/>
          <w:i/>
        </w:rPr>
        <w:t xml:space="preserve"> </w:t>
      </w:r>
    </w:p>
    <w:p w:rsidR="00A530FD" w:rsidRDefault="001B10D7" w:rsidP="00A530FD">
      <w:r>
        <w:t>Note the information in the attached table.</w:t>
      </w:r>
    </w:p>
    <w:p w:rsidR="00A530FD" w:rsidRDefault="00C33900" w:rsidP="00A530FD">
      <w:pPr>
        <w:rPr>
          <w:bCs/>
          <w:i/>
        </w:rPr>
      </w:pPr>
      <w:r>
        <w:rPr>
          <w:b/>
          <w:bCs/>
          <w:u w:val="single"/>
        </w:rPr>
        <w:t>3</w:t>
      </w:r>
      <w:r w:rsidR="00A530FD">
        <w:rPr>
          <w:b/>
          <w:bCs/>
          <w:u w:val="single"/>
        </w:rPr>
        <w:t>. Draft Text for Inclusion in the SG-RFC Meeting Reports or Other Documents</w:t>
      </w:r>
      <w:r w:rsidR="00107650">
        <w:rPr>
          <w:bCs/>
          <w:i/>
        </w:rPr>
        <w:t xml:space="preserve"> </w:t>
      </w:r>
    </w:p>
    <w:p w:rsidR="00C33900" w:rsidRPr="00C33900" w:rsidRDefault="00C33900" w:rsidP="00A530FD">
      <w:proofErr w:type="gramStart"/>
      <w:r w:rsidRPr="00C33900">
        <w:rPr>
          <w:bCs/>
        </w:rPr>
        <w:t>None</w:t>
      </w:r>
      <w:r w:rsidR="00FE3FBC">
        <w:rPr>
          <w:bCs/>
        </w:rPr>
        <w:t>.</w:t>
      </w:r>
      <w:proofErr w:type="gramEnd"/>
    </w:p>
    <w:p w:rsidR="00A530FD" w:rsidRDefault="00A530FD" w:rsidP="00A530FD">
      <w:pPr>
        <w:pStyle w:val="Default"/>
        <w:jc w:val="both"/>
      </w:pPr>
    </w:p>
    <w:p w:rsidR="00D82060" w:rsidRDefault="00D82060" w:rsidP="007566C2">
      <w:pPr>
        <w:jc w:val="center"/>
        <w:sectPr w:rsidR="00D82060" w:rsidSect="00167708">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7" w:h="16840" w:code="9"/>
          <w:pgMar w:top="1134" w:right="1134" w:bottom="1134" w:left="1134" w:header="720" w:footer="720" w:gutter="0"/>
          <w:cols w:space="720"/>
          <w:titlePg/>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4677"/>
        <w:gridCol w:w="5670"/>
      </w:tblGrid>
      <w:tr w:rsidR="007566C2" w:rsidTr="00924F3F">
        <w:tc>
          <w:tcPr>
            <w:tcW w:w="817" w:type="dxa"/>
            <w:tcBorders>
              <w:top w:val="single" w:sz="4" w:space="0" w:color="auto"/>
              <w:left w:val="single" w:sz="4" w:space="0" w:color="auto"/>
              <w:bottom w:val="single" w:sz="4" w:space="0" w:color="auto"/>
              <w:right w:val="nil"/>
            </w:tcBorders>
          </w:tcPr>
          <w:p w:rsidR="00D82060" w:rsidRPr="00924F3F" w:rsidRDefault="00D82060" w:rsidP="00924F3F">
            <w:pPr>
              <w:jc w:val="center"/>
              <w:rPr>
                <w:sz w:val="22"/>
                <w:szCs w:val="22"/>
              </w:rPr>
            </w:pPr>
          </w:p>
        </w:tc>
        <w:tc>
          <w:tcPr>
            <w:tcW w:w="4253" w:type="dxa"/>
            <w:tcBorders>
              <w:left w:val="nil"/>
            </w:tcBorders>
          </w:tcPr>
          <w:p w:rsidR="00D82060" w:rsidRPr="00924F3F" w:rsidRDefault="00D82060" w:rsidP="00924F3F">
            <w:pPr>
              <w:jc w:val="center"/>
              <w:rPr>
                <w:sz w:val="22"/>
                <w:szCs w:val="22"/>
              </w:rPr>
            </w:pPr>
            <w:r w:rsidRPr="00924F3F">
              <w:rPr>
                <w:sz w:val="22"/>
                <w:szCs w:val="22"/>
              </w:rPr>
              <w:t>WRC-15 Agenda Item</w:t>
            </w:r>
          </w:p>
        </w:tc>
        <w:tc>
          <w:tcPr>
            <w:tcW w:w="4677" w:type="dxa"/>
          </w:tcPr>
          <w:p w:rsidR="00D82060" w:rsidRPr="00924F3F" w:rsidRDefault="00D82060" w:rsidP="00924F3F">
            <w:pPr>
              <w:jc w:val="center"/>
              <w:rPr>
                <w:sz w:val="22"/>
                <w:szCs w:val="22"/>
              </w:rPr>
            </w:pPr>
            <w:r w:rsidRPr="00924F3F">
              <w:rPr>
                <w:sz w:val="22"/>
                <w:szCs w:val="22"/>
              </w:rPr>
              <w:t>WMO Position</w:t>
            </w:r>
          </w:p>
        </w:tc>
        <w:tc>
          <w:tcPr>
            <w:tcW w:w="5670" w:type="dxa"/>
          </w:tcPr>
          <w:p w:rsidR="00D82060" w:rsidRPr="00924F3F" w:rsidRDefault="00BE37FE" w:rsidP="00BE37FE">
            <w:pPr>
              <w:jc w:val="center"/>
              <w:rPr>
                <w:sz w:val="22"/>
                <w:szCs w:val="22"/>
              </w:rPr>
            </w:pPr>
            <w:r>
              <w:rPr>
                <w:sz w:val="22"/>
                <w:szCs w:val="22"/>
              </w:rPr>
              <w:t>CEPT</w:t>
            </w:r>
            <w:r w:rsidR="00D82060" w:rsidRPr="00924F3F">
              <w:rPr>
                <w:sz w:val="22"/>
                <w:szCs w:val="22"/>
              </w:rPr>
              <w:t xml:space="preserve"> Preliminary </w:t>
            </w:r>
            <w:r>
              <w:rPr>
                <w:sz w:val="22"/>
                <w:szCs w:val="22"/>
              </w:rPr>
              <w:t>Positions</w:t>
            </w:r>
          </w:p>
        </w:tc>
      </w:tr>
      <w:tr w:rsidR="007566C2" w:rsidTr="00924F3F">
        <w:tc>
          <w:tcPr>
            <w:tcW w:w="817" w:type="dxa"/>
            <w:tcBorders>
              <w:top w:val="single" w:sz="4" w:space="0" w:color="auto"/>
            </w:tcBorders>
          </w:tcPr>
          <w:p w:rsidR="00D82060" w:rsidRPr="00924F3F" w:rsidRDefault="00D82060" w:rsidP="00924F3F">
            <w:pPr>
              <w:jc w:val="center"/>
              <w:rPr>
                <w:sz w:val="22"/>
                <w:szCs w:val="22"/>
              </w:rPr>
            </w:pPr>
            <w:r w:rsidRPr="00924F3F">
              <w:rPr>
                <w:sz w:val="22"/>
                <w:szCs w:val="22"/>
              </w:rPr>
              <w:t>1.1</w:t>
            </w:r>
          </w:p>
          <w:p w:rsidR="00D82060" w:rsidRPr="00924F3F" w:rsidRDefault="00D82060" w:rsidP="00924F3F">
            <w:pPr>
              <w:jc w:val="center"/>
              <w:rPr>
                <w:sz w:val="22"/>
                <w:szCs w:val="22"/>
              </w:rPr>
            </w:pPr>
          </w:p>
          <w:p w:rsidR="00D82060" w:rsidRPr="00924F3F" w:rsidRDefault="00D82060" w:rsidP="00924F3F">
            <w:pPr>
              <w:jc w:val="center"/>
              <w:rPr>
                <w:color w:val="000000"/>
                <w:sz w:val="22"/>
                <w:szCs w:val="22"/>
              </w:rPr>
            </w:pPr>
            <w:r w:rsidRPr="00924F3F">
              <w:rPr>
                <w:color w:val="000000"/>
                <w:sz w:val="22"/>
                <w:szCs w:val="22"/>
              </w:rPr>
              <w:t>JTG</w:t>
            </w:r>
            <w:r w:rsidR="00EE4A74" w:rsidRPr="00924F3F">
              <w:rPr>
                <w:color w:val="000000"/>
                <w:sz w:val="22"/>
                <w:szCs w:val="22"/>
              </w:rPr>
              <w:t xml:space="preserve"> </w:t>
            </w:r>
            <w:r w:rsidRPr="00924F3F">
              <w:rPr>
                <w:color w:val="000000"/>
                <w:sz w:val="22"/>
                <w:szCs w:val="22"/>
              </w:rPr>
              <w:t>4-5-6-7</w:t>
            </w:r>
          </w:p>
        </w:tc>
        <w:tc>
          <w:tcPr>
            <w:tcW w:w="4253" w:type="dxa"/>
          </w:tcPr>
          <w:p w:rsidR="00D82060" w:rsidRPr="00924F3F" w:rsidRDefault="00D82060" w:rsidP="007566C2">
            <w:pPr>
              <w:rPr>
                <w:sz w:val="22"/>
                <w:szCs w:val="22"/>
              </w:rPr>
            </w:pPr>
            <w:r w:rsidRPr="00924F3F">
              <w:rPr>
                <w:sz w:val="22"/>
                <w:szCs w:val="22"/>
              </w:rPr>
              <w:t>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233 </w:t>
            </w:r>
            <w:r w:rsidRPr="00924F3F">
              <w:rPr>
                <w:bCs/>
                <w:sz w:val="22"/>
                <w:szCs w:val="22"/>
              </w:rPr>
              <w:t>(WRC</w:t>
            </w:r>
            <w:r w:rsidRPr="00924F3F">
              <w:rPr>
                <w:bCs/>
                <w:sz w:val="22"/>
                <w:szCs w:val="22"/>
              </w:rPr>
              <w:noBreakHyphen/>
              <w:t>12).</w:t>
            </w:r>
          </w:p>
        </w:tc>
        <w:tc>
          <w:tcPr>
            <w:tcW w:w="4677" w:type="dxa"/>
          </w:tcPr>
          <w:p w:rsidR="00D82060" w:rsidRPr="00924F3F" w:rsidRDefault="00D82060" w:rsidP="007566C2">
            <w:pPr>
              <w:rPr>
                <w:sz w:val="22"/>
                <w:szCs w:val="22"/>
                <w:lang w:val="en-GB"/>
              </w:rPr>
            </w:pPr>
            <w:r w:rsidRPr="00924F3F">
              <w:rPr>
                <w:sz w:val="22"/>
                <w:szCs w:val="22"/>
                <w:lang w:val="en-GB"/>
              </w:rPr>
              <w:t>WMO opposes allocation/identification for terrestrial mobile broadband applications including IMT of the frequency bands 1 675-1 710 MHz, 2 025-2 110 MHz, 2 200-2 290 MHz, 2 700-2 900 MHz and 5 350-5 470 MHz.</w:t>
            </w:r>
          </w:p>
          <w:p w:rsidR="00D82060" w:rsidRPr="00924F3F" w:rsidRDefault="00D82060" w:rsidP="007566C2">
            <w:pPr>
              <w:rPr>
                <w:sz w:val="22"/>
                <w:szCs w:val="22"/>
                <w:lang w:val="en-GB"/>
              </w:rPr>
            </w:pPr>
            <w:r w:rsidRPr="00924F3F">
              <w:rPr>
                <w:sz w:val="22"/>
                <w:szCs w:val="22"/>
                <w:lang w:val="en-GB"/>
              </w:rPr>
              <w:t>WMO opposes any allocation in the 1 400-1 427 MHz frequency band, covered by RR No 5.340, and also requires that protection of sensors in this band be ensured from unwanted emissions of terrestrial mobile broadband applications including IMT if proposed in the adjacent bands.</w:t>
            </w:r>
          </w:p>
          <w:p w:rsidR="00D82060" w:rsidRPr="00924F3F" w:rsidRDefault="00D82060" w:rsidP="007566C2">
            <w:pPr>
              <w:rPr>
                <w:sz w:val="22"/>
                <w:szCs w:val="22"/>
                <w:lang w:val="en-GB"/>
              </w:rPr>
            </w:pPr>
            <w:r w:rsidRPr="00924F3F">
              <w:rPr>
                <w:sz w:val="22"/>
                <w:szCs w:val="22"/>
                <w:lang w:val="en-GB"/>
              </w:rPr>
              <w:t>In addition, WMO states its requirement to maintain relevant fixed satellite service capacity and availability in the 3 400-4 200 MHz frequency band.</w:t>
            </w:r>
          </w:p>
          <w:p w:rsidR="00D82060" w:rsidRPr="00924F3F" w:rsidRDefault="00D82060" w:rsidP="007566C2">
            <w:pPr>
              <w:rPr>
                <w:sz w:val="22"/>
                <w:szCs w:val="22"/>
              </w:rPr>
            </w:pPr>
          </w:p>
        </w:tc>
        <w:tc>
          <w:tcPr>
            <w:tcW w:w="5670" w:type="dxa"/>
          </w:tcPr>
          <w:p w:rsidR="00497EC7" w:rsidRPr="00497EC7" w:rsidRDefault="00497EC7" w:rsidP="00BE37FE">
            <w:pPr>
              <w:rPr>
                <w:b/>
                <w:sz w:val="22"/>
                <w:szCs w:val="22"/>
              </w:rPr>
            </w:pPr>
            <w:r w:rsidRPr="00497EC7">
              <w:rPr>
                <w:b/>
                <w:sz w:val="22"/>
                <w:szCs w:val="22"/>
              </w:rPr>
              <w:t>Status</w:t>
            </w:r>
            <w:r>
              <w:rPr>
                <w:b/>
                <w:sz w:val="22"/>
                <w:szCs w:val="22"/>
              </w:rPr>
              <w:t>:</w:t>
            </w:r>
            <w:r w:rsidRPr="00497EC7">
              <w:rPr>
                <w:b/>
                <w:sz w:val="22"/>
                <w:szCs w:val="22"/>
              </w:rPr>
              <w:t xml:space="preserve"> </w:t>
            </w:r>
            <w:r>
              <w:rPr>
                <w:b/>
                <w:sz w:val="22"/>
                <w:szCs w:val="22"/>
              </w:rPr>
              <w:t>PT-D (Jan 2014)</w:t>
            </w:r>
          </w:p>
          <w:p w:rsidR="00BE37FE" w:rsidRPr="00BE37FE" w:rsidRDefault="00BE37FE" w:rsidP="00BE37FE">
            <w:pPr>
              <w:rPr>
                <w:sz w:val="22"/>
                <w:szCs w:val="22"/>
              </w:rPr>
            </w:pPr>
            <w:r w:rsidRPr="00BE37FE">
              <w:rPr>
                <w:sz w:val="22"/>
                <w:szCs w:val="22"/>
              </w:rPr>
              <w:t>CEPT supports:</w:t>
            </w:r>
          </w:p>
          <w:p w:rsidR="00BE37FE" w:rsidRPr="00BE37FE" w:rsidRDefault="00BE37FE" w:rsidP="00BE37FE">
            <w:pPr>
              <w:numPr>
                <w:ilvl w:val="0"/>
                <w:numId w:val="8"/>
              </w:numPr>
              <w:ind w:left="318"/>
              <w:rPr>
                <w:sz w:val="22"/>
                <w:szCs w:val="22"/>
                <w:lang w:val="en-GB"/>
              </w:rPr>
            </w:pPr>
            <w:r w:rsidRPr="00BE37FE">
              <w:rPr>
                <w:sz w:val="22"/>
                <w:szCs w:val="22"/>
                <w:lang w:val="en-GB"/>
              </w:rPr>
              <w:t>the results of the ITU-R studies which indicate that by the year 2020, the total spectrum requirement for pre-IMT, IMT-2000 and its enhancements and for IMT-Advanced is between 1960MHz (for higher user density settings) and 1340MHz (for lower user density settings).  However CEPT recognises that the national spectrum requirements may vary.</w:t>
            </w:r>
          </w:p>
          <w:p w:rsidR="00BE37FE" w:rsidRPr="00BE37FE" w:rsidRDefault="00BE37FE" w:rsidP="00BE37FE">
            <w:pPr>
              <w:numPr>
                <w:ilvl w:val="0"/>
                <w:numId w:val="8"/>
              </w:numPr>
              <w:ind w:left="318"/>
              <w:rPr>
                <w:sz w:val="22"/>
                <w:szCs w:val="22"/>
                <w:lang w:val="en-GB"/>
              </w:rPr>
            </w:pPr>
            <w:r w:rsidRPr="00BE37FE">
              <w:rPr>
                <w:sz w:val="22"/>
                <w:szCs w:val="22"/>
                <w:lang w:val="en-GB"/>
              </w:rPr>
              <w:t>harmonised allocations to the mobile service and identification for IMT to facilitate the global roaming and reduction of equipment-cost through economies of scale;</w:t>
            </w:r>
          </w:p>
          <w:p w:rsidR="00BE37FE" w:rsidRPr="00BE37FE" w:rsidRDefault="00BE37FE" w:rsidP="00BE37FE">
            <w:pPr>
              <w:numPr>
                <w:ilvl w:val="0"/>
                <w:numId w:val="8"/>
              </w:numPr>
              <w:ind w:left="318"/>
              <w:rPr>
                <w:sz w:val="22"/>
                <w:szCs w:val="22"/>
                <w:lang w:val="en-GB"/>
              </w:rPr>
            </w:pPr>
            <w:r w:rsidRPr="00BE37FE">
              <w:rPr>
                <w:sz w:val="22"/>
                <w:szCs w:val="22"/>
                <w:lang w:val="en-GB"/>
              </w:rPr>
              <w:t>that when considering identification of additional frequency bands for IMT, CEPT takes into account current use of these bands and the results of ECC and/or ITU-R sharing/compatibility studies with respect to existing services in those bands and adjacent bands.</w:t>
            </w:r>
          </w:p>
          <w:p w:rsidR="00BE37FE" w:rsidRPr="00BE37FE" w:rsidRDefault="00BE37FE" w:rsidP="00BE37FE">
            <w:pPr>
              <w:numPr>
                <w:ilvl w:val="0"/>
                <w:numId w:val="8"/>
              </w:numPr>
              <w:ind w:left="318"/>
              <w:rPr>
                <w:sz w:val="22"/>
                <w:szCs w:val="22"/>
                <w:lang w:val="en-GB"/>
              </w:rPr>
            </w:pPr>
            <w:r w:rsidRPr="00BE37FE">
              <w:rPr>
                <w:sz w:val="22"/>
                <w:szCs w:val="22"/>
                <w:lang w:val="en-GB"/>
              </w:rPr>
              <w:t>Based on the available studies CEPT is currently of the view that:</w:t>
            </w:r>
          </w:p>
          <w:p w:rsidR="00BE37FE" w:rsidRDefault="00BE37FE" w:rsidP="00BE37FE">
            <w:pPr>
              <w:spacing w:before="0" w:beforeAutospacing="0" w:after="0" w:afterAutospacing="0"/>
              <w:rPr>
                <w:sz w:val="22"/>
                <w:szCs w:val="22"/>
                <w:lang w:val="en-GB"/>
              </w:rPr>
            </w:pPr>
            <w:r w:rsidRPr="00BE37FE">
              <w:rPr>
                <w:sz w:val="22"/>
                <w:szCs w:val="22"/>
                <w:lang w:val="en-GB"/>
              </w:rPr>
              <w:t>The following bands are supported:</w:t>
            </w:r>
          </w:p>
          <w:p w:rsidR="00BE37FE" w:rsidRPr="00BE37FE" w:rsidRDefault="00BE37FE" w:rsidP="00BE37FE">
            <w:pPr>
              <w:spacing w:before="0" w:beforeAutospacing="0" w:after="0" w:afterAutospacing="0"/>
              <w:rPr>
                <w:sz w:val="22"/>
                <w:szCs w:val="22"/>
                <w:lang w:val="en-GB"/>
              </w:rPr>
            </w:pPr>
            <w:r w:rsidRPr="00BE37FE">
              <w:rPr>
                <w:sz w:val="22"/>
                <w:szCs w:val="22"/>
                <w:lang w:val="en-GB"/>
              </w:rPr>
              <w:t>1427-1452 MHz</w:t>
            </w:r>
          </w:p>
          <w:p w:rsidR="00BE37FE" w:rsidRPr="00BE37FE" w:rsidRDefault="00BE37FE" w:rsidP="00BE37FE">
            <w:pPr>
              <w:spacing w:before="0" w:beforeAutospacing="0" w:after="0" w:afterAutospacing="0"/>
              <w:rPr>
                <w:sz w:val="22"/>
                <w:szCs w:val="22"/>
                <w:lang w:val="en-GB"/>
              </w:rPr>
            </w:pPr>
            <w:r w:rsidRPr="00BE37FE">
              <w:rPr>
                <w:sz w:val="22"/>
                <w:szCs w:val="22"/>
                <w:lang w:val="en-GB"/>
              </w:rPr>
              <w:t>1452-1492 MHz</w:t>
            </w:r>
          </w:p>
          <w:p w:rsidR="00BE37FE" w:rsidRPr="00BE37FE" w:rsidRDefault="00BE37FE" w:rsidP="00BE37FE">
            <w:pPr>
              <w:spacing w:before="0" w:beforeAutospacing="0" w:after="0" w:afterAutospacing="0"/>
              <w:rPr>
                <w:sz w:val="22"/>
                <w:szCs w:val="22"/>
                <w:lang w:val="en-GB"/>
              </w:rPr>
            </w:pPr>
            <w:r w:rsidRPr="00BE37FE">
              <w:rPr>
                <w:sz w:val="22"/>
                <w:szCs w:val="22"/>
                <w:lang w:val="en-GB"/>
              </w:rPr>
              <w:t>3400-3600 MHz</w:t>
            </w:r>
          </w:p>
          <w:p w:rsidR="00BE37FE" w:rsidRDefault="00BE37FE" w:rsidP="00BE37FE">
            <w:pPr>
              <w:spacing w:before="0" w:beforeAutospacing="0" w:after="0" w:afterAutospacing="0"/>
              <w:rPr>
                <w:sz w:val="22"/>
                <w:szCs w:val="22"/>
                <w:lang w:val="en-GB"/>
              </w:rPr>
            </w:pPr>
            <w:r w:rsidRPr="00BE37FE">
              <w:rPr>
                <w:sz w:val="22"/>
                <w:szCs w:val="22"/>
                <w:lang w:val="en-GB"/>
              </w:rPr>
              <w:t>3600-3800 MHz</w:t>
            </w:r>
          </w:p>
          <w:p w:rsidR="00BE37FE" w:rsidRDefault="00BE37FE" w:rsidP="00BE37FE">
            <w:pPr>
              <w:spacing w:before="0" w:beforeAutospacing="0" w:after="0" w:afterAutospacing="0"/>
              <w:rPr>
                <w:sz w:val="22"/>
                <w:szCs w:val="22"/>
                <w:lang w:val="en-GB"/>
              </w:rPr>
            </w:pPr>
          </w:p>
          <w:p w:rsidR="00BE37FE" w:rsidRPr="00BE37FE" w:rsidRDefault="00BE37FE" w:rsidP="00BE37FE">
            <w:pPr>
              <w:spacing w:before="0" w:beforeAutospacing="0" w:after="0" w:afterAutospacing="0"/>
              <w:rPr>
                <w:sz w:val="22"/>
                <w:szCs w:val="22"/>
                <w:lang w:val="en-GB"/>
              </w:rPr>
            </w:pPr>
            <w:r w:rsidRPr="00BE37FE">
              <w:rPr>
                <w:sz w:val="22"/>
                <w:szCs w:val="22"/>
                <w:lang w:val="en-GB"/>
              </w:rPr>
              <w:t>The following bands are subject to further consideration taking into account sharing and compatibility studies:</w:t>
            </w:r>
          </w:p>
          <w:p w:rsidR="00BE37FE" w:rsidRPr="00BE37FE" w:rsidRDefault="00BE37FE" w:rsidP="00BE37FE">
            <w:pPr>
              <w:numPr>
                <w:ilvl w:val="0"/>
                <w:numId w:val="8"/>
              </w:numPr>
              <w:spacing w:before="0" w:beforeAutospacing="0" w:after="0" w:afterAutospacing="0"/>
              <w:ind w:left="0"/>
              <w:rPr>
                <w:sz w:val="22"/>
                <w:szCs w:val="22"/>
                <w:lang w:val="en-GB"/>
              </w:rPr>
            </w:pPr>
            <w:r w:rsidRPr="00BE37FE">
              <w:rPr>
                <w:sz w:val="22"/>
                <w:szCs w:val="22"/>
                <w:lang w:val="en-GB"/>
              </w:rPr>
              <w:t>470 – 694 MHz</w:t>
            </w:r>
          </w:p>
          <w:p w:rsidR="00BE37FE" w:rsidRPr="00BE37FE" w:rsidRDefault="00BE37FE" w:rsidP="00BE37FE">
            <w:pPr>
              <w:numPr>
                <w:ilvl w:val="0"/>
                <w:numId w:val="8"/>
              </w:numPr>
              <w:spacing w:before="0" w:beforeAutospacing="0" w:after="0" w:afterAutospacing="0"/>
              <w:ind w:left="0"/>
              <w:rPr>
                <w:sz w:val="22"/>
                <w:szCs w:val="22"/>
                <w:lang w:val="en-GB"/>
              </w:rPr>
            </w:pPr>
            <w:r w:rsidRPr="00BE37FE">
              <w:rPr>
                <w:sz w:val="22"/>
                <w:szCs w:val="22"/>
                <w:lang w:val="en-GB"/>
              </w:rPr>
              <w:t xml:space="preserve">1350-1375 MHz </w:t>
            </w:r>
          </w:p>
          <w:p w:rsidR="00BE37FE" w:rsidRPr="00BE37FE" w:rsidRDefault="00BE37FE" w:rsidP="00BE37FE">
            <w:pPr>
              <w:numPr>
                <w:ilvl w:val="0"/>
                <w:numId w:val="8"/>
              </w:numPr>
              <w:spacing w:before="0" w:beforeAutospacing="0" w:after="0" w:afterAutospacing="0"/>
              <w:ind w:left="0"/>
              <w:rPr>
                <w:sz w:val="22"/>
                <w:szCs w:val="22"/>
                <w:lang w:val="en-GB"/>
              </w:rPr>
            </w:pPr>
            <w:r w:rsidRPr="00BE37FE">
              <w:rPr>
                <w:sz w:val="22"/>
                <w:szCs w:val="22"/>
                <w:lang w:val="en-GB"/>
              </w:rPr>
              <w:t>1375-1400 MHz</w:t>
            </w:r>
          </w:p>
          <w:p w:rsidR="00BE37FE" w:rsidRPr="00BE37FE" w:rsidRDefault="00BE37FE" w:rsidP="00BE37FE">
            <w:pPr>
              <w:numPr>
                <w:ilvl w:val="0"/>
                <w:numId w:val="8"/>
              </w:numPr>
              <w:spacing w:before="0" w:beforeAutospacing="0" w:after="0" w:afterAutospacing="0"/>
              <w:ind w:left="0"/>
              <w:rPr>
                <w:sz w:val="22"/>
                <w:szCs w:val="22"/>
                <w:lang w:val="en-GB"/>
              </w:rPr>
            </w:pPr>
            <w:r w:rsidRPr="00BE37FE">
              <w:rPr>
                <w:sz w:val="22"/>
                <w:szCs w:val="22"/>
                <w:lang w:val="en-GB"/>
              </w:rPr>
              <w:t>1492-1518 MHz</w:t>
            </w:r>
          </w:p>
          <w:p w:rsidR="00BE37FE" w:rsidRPr="00BE37FE" w:rsidRDefault="00BE37FE" w:rsidP="00BE37FE">
            <w:pPr>
              <w:numPr>
                <w:ilvl w:val="0"/>
                <w:numId w:val="8"/>
              </w:numPr>
              <w:spacing w:before="0" w:beforeAutospacing="0" w:after="0" w:afterAutospacing="0"/>
              <w:ind w:left="0"/>
              <w:rPr>
                <w:sz w:val="22"/>
                <w:szCs w:val="22"/>
                <w:lang w:val="en-GB"/>
              </w:rPr>
            </w:pPr>
            <w:r w:rsidRPr="00BE37FE">
              <w:rPr>
                <w:sz w:val="22"/>
                <w:szCs w:val="22"/>
                <w:lang w:val="en-GB"/>
              </w:rPr>
              <w:lastRenderedPageBreak/>
              <w:t>2700-2900 MHz</w:t>
            </w:r>
          </w:p>
          <w:p w:rsidR="00BE37FE" w:rsidRPr="00BE37FE" w:rsidRDefault="00BE37FE" w:rsidP="00BE37FE">
            <w:pPr>
              <w:numPr>
                <w:ilvl w:val="0"/>
                <w:numId w:val="8"/>
              </w:numPr>
              <w:spacing w:before="0" w:beforeAutospacing="0" w:after="0" w:afterAutospacing="0"/>
              <w:ind w:left="0"/>
              <w:rPr>
                <w:sz w:val="22"/>
                <w:szCs w:val="22"/>
                <w:lang w:val="en-GB"/>
              </w:rPr>
            </w:pPr>
            <w:r w:rsidRPr="00BE37FE">
              <w:rPr>
                <w:sz w:val="22"/>
                <w:szCs w:val="22"/>
                <w:lang w:val="en-GB"/>
              </w:rPr>
              <w:t>5350-5470 MHz</w:t>
            </w:r>
          </w:p>
          <w:p w:rsidR="00BE37FE" w:rsidRPr="00BE37FE" w:rsidRDefault="00BE37FE" w:rsidP="00BE37FE">
            <w:pPr>
              <w:numPr>
                <w:ilvl w:val="0"/>
                <w:numId w:val="8"/>
              </w:numPr>
              <w:spacing w:before="0" w:beforeAutospacing="0" w:after="0" w:afterAutospacing="0"/>
              <w:ind w:left="0"/>
              <w:rPr>
                <w:sz w:val="22"/>
                <w:szCs w:val="22"/>
                <w:lang w:val="en-GB"/>
              </w:rPr>
            </w:pPr>
            <w:r w:rsidRPr="00BE37FE">
              <w:rPr>
                <w:sz w:val="22"/>
                <w:szCs w:val="22"/>
                <w:lang w:val="en-GB"/>
              </w:rPr>
              <w:t>5725-5925 MHz</w:t>
            </w:r>
          </w:p>
          <w:p w:rsidR="00BE37FE" w:rsidRPr="00BE37FE" w:rsidRDefault="00BE37FE" w:rsidP="00BE37FE">
            <w:pPr>
              <w:numPr>
                <w:ilvl w:val="0"/>
                <w:numId w:val="8"/>
              </w:numPr>
              <w:spacing w:before="0" w:beforeAutospacing="0" w:after="0" w:afterAutospacing="0"/>
              <w:ind w:left="0"/>
              <w:rPr>
                <w:sz w:val="22"/>
                <w:szCs w:val="22"/>
                <w:lang w:val="en-GB"/>
              </w:rPr>
            </w:pPr>
            <w:r w:rsidRPr="00BE37FE">
              <w:rPr>
                <w:sz w:val="22"/>
                <w:szCs w:val="22"/>
                <w:lang w:val="en-GB"/>
              </w:rPr>
              <w:t>5925-6425 MHz</w:t>
            </w:r>
          </w:p>
          <w:p w:rsidR="00BE37FE" w:rsidRPr="00BE37FE" w:rsidRDefault="00BE37FE" w:rsidP="00BE37FE">
            <w:pPr>
              <w:spacing w:before="0" w:beforeAutospacing="0" w:after="0" w:afterAutospacing="0"/>
              <w:rPr>
                <w:sz w:val="22"/>
                <w:szCs w:val="22"/>
                <w:lang w:val="en-GB"/>
              </w:rPr>
            </w:pPr>
          </w:p>
          <w:p w:rsidR="00BE37FE" w:rsidRPr="00BE37FE" w:rsidRDefault="00BE37FE" w:rsidP="00BE37FE">
            <w:pPr>
              <w:spacing w:before="0" w:beforeAutospacing="0" w:after="0" w:afterAutospacing="0"/>
              <w:rPr>
                <w:sz w:val="22"/>
                <w:szCs w:val="22"/>
                <w:lang w:val="en-GB"/>
              </w:rPr>
            </w:pPr>
            <w:r w:rsidRPr="00BE37FE">
              <w:rPr>
                <w:sz w:val="22"/>
                <w:szCs w:val="22"/>
                <w:lang w:val="en-GB"/>
              </w:rPr>
              <w:t>The following bands seem not to be suitable for mobile broadband:</w:t>
            </w:r>
          </w:p>
          <w:p w:rsidR="00BE37FE" w:rsidRPr="00BE37FE" w:rsidRDefault="00BE37FE" w:rsidP="00BE37FE">
            <w:pPr>
              <w:spacing w:before="0" w:beforeAutospacing="0" w:after="0" w:afterAutospacing="0"/>
              <w:rPr>
                <w:sz w:val="22"/>
                <w:szCs w:val="22"/>
                <w:lang w:val="en-GB"/>
              </w:rPr>
            </w:pPr>
            <w:r w:rsidRPr="00BE37FE">
              <w:rPr>
                <w:sz w:val="22"/>
                <w:szCs w:val="22"/>
                <w:lang w:val="en-GB"/>
              </w:rPr>
              <w:t>1300-1350 MHz</w:t>
            </w:r>
          </w:p>
          <w:p w:rsidR="00BE37FE" w:rsidRPr="00BE37FE" w:rsidRDefault="00BE37FE" w:rsidP="00BE37FE">
            <w:pPr>
              <w:spacing w:before="0" w:beforeAutospacing="0" w:after="0" w:afterAutospacing="0"/>
              <w:rPr>
                <w:sz w:val="22"/>
                <w:szCs w:val="22"/>
                <w:lang w:val="en-GB"/>
              </w:rPr>
            </w:pPr>
            <w:r w:rsidRPr="00BE37FE">
              <w:rPr>
                <w:sz w:val="22"/>
                <w:szCs w:val="22"/>
                <w:lang w:val="en-GB"/>
              </w:rPr>
              <w:t>1518-1525 MHz</w:t>
            </w:r>
          </w:p>
          <w:p w:rsidR="00BE37FE" w:rsidRPr="00BE37FE" w:rsidRDefault="00BE37FE" w:rsidP="00BE37FE">
            <w:pPr>
              <w:spacing w:before="0" w:beforeAutospacing="0" w:after="0" w:afterAutospacing="0"/>
              <w:rPr>
                <w:sz w:val="22"/>
                <w:szCs w:val="22"/>
                <w:lang w:val="en-GB"/>
              </w:rPr>
            </w:pPr>
            <w:r w:rsidRPr="00BE37FE">
              <w:rPr>
                <w:sz w:val="22"/>
                <w:szCs w:val="22"/>
                <w:lang w:val="en-GB"/>
              </w:rPr>
              <w:t>1695-1710 MHz</w:t>
            </w:r>
          </w:p>
          <w:p w:rsidR="00BE37FE" w:rsidRPr="00BE37FE" w:rsidRDefault="00BE37FE" w:rsidP="00BE37FE">
            <w:pPr>
              <w:spacing w:before="0" w:beforeAutospacing="0" w:after="0" w:afterAutospacing="0"/>
              <w:rPr>
                <w:sz w:val="22"/>
                <w:szCs w:val="22"/>
                <w:lang w:val="en-GB"/>
              </w:rPr>
            </w:pPr>
            <w:r w:rsidRPr="00BE37FE">
              <w:rPr>
                <w:sz w:val="22"/>
                <w:szCs w:val="22"/>
                <w:lang w:val="en-GB"/>
              </w:rPr>
              <w:t>2025-2110 MHz</w:t>
            </w:r>
          </w:p>
          <w:p w:rsidR="00BE37FE" w:rsidRPr="00BE37FE" w:rsidRDefault="00BE37FE" w:rsidP="00BE37FE">
            <w:pPr>
              <w:spacing w:before="0" w:beforeAutospacing="0" w:after="0" w:afterAutospacing="0"/>
              <w:rPr>
                <w:sz w:val="22"/>
                <w:szCs w:val="22"/>
                <w:lang w:val="en-GB"/>
              </w:rPr>
            </w:pPr>
            <w:r w:rsidRPr="00BE37FE">
              <w:rPr>
                <w:sz w:val="22"/>
                <w:szCs w:val="22"/>
                <w:lang w:val="en-GB"/>
              </w:rPr>
              <w:t>2200-2290 MHz</w:t>
            </w:r>
          </w:p>
          <w:p w:rsidR="00BE37FE" w:rsidRPr="00BE37FE" w:rsidRDefault="00BE37FE" w:rsidP="00BE37FE">
            <w:pPr>
              <w:spacing w:before="0" w:beforeAutospacing="0" w:after="0" w:afterAutospacing="0"/>
              <w:rPr>
                <w:sz w:val="22"/>
                <w:szCs w:val="22"/>
                <w:lang w:val="en-GB"/>
              </w:rPr>
            </w:pPr>
            <w:r w:rsidRPr="00BE37FE">
              <w:rPr>
                <w:sz w:val="22"/>
                <w:szCs w:val="22"/>
                <w:lang w:val="en-GB"/>
              </w:rPr>
              <w:t>2900-3100 MHz</w:t>
            </w:r>
          </w:p>
          <w:p w:rsidR="00BE37FE" w:rsidRPr="00BE37FE" w:rsidRDefault="00BE37FE" w:rsidP="00BE37FE">
            <w:pPr>
              <w:spacing w:before="0" w:beforeAutospacing="0" w:after="0" w:afterAutospacing="0"/>
              <w:rPr>
                <w:sz w:val="22"/>
                <w:szCs w:val="22"/>
                <w:lang w:val="en-GB"/>
              </w:rPr>
            </w:pPr>
            <w:r w:rsidRPr="00BE37FE">
              <w:rPr>
                <w:sz w:val="22"/>
                <w:szCs w:val="22"/>
                <w:lang w:val="en-GB"/>
              </w:rPr>
              <w:t xml:space="preserve">3300-3400 MHz </w:t>
            </w:r>
          </w:p>
          <w:p w:rsidR="00BE37FE" w:rsidRPr="00BE37FE" w:rsidRDefault="00BE37FE" w:rsidP="00BE37FE">
            <w:pPr>
              <w:spacing w:before="0" w:beforeAutospacing="0" w:after="0" w:afterAutospacing="0"/>
              <w:rPr>
                <w:sz w:val="22"/>
                <w:szCs w:val="22"/>
                <w:lang w:val="en-GB"/>
              </w:rPr>
            </w:pPr>
            <w:r w:rsidRPr="00BE37FE">
              <w:rPr>
                <w:sz w:val="22"/>
                <w:szCs w:val="22"/>
                <w:lang w:val="en-GB"/>
              </w:rPr>
              <w:t>3800-4200 MHz</w:t>
            </w:r>
          </w:p>
          <w:p w:rsidR="00BE37FE" w:rsidRPr="00BE37FE" w:rsidRDefault="00BE37FE" w:rsidP="00BE37FE">
            <w:pPr>
              <w:spacing w:before="0" w:beforeAutospacing="0" w:after="0" w:afterAutospacing="0"/>
              <w:rPr>
                <w:sz w:val="22"/>
                <w:szCs w:val="22"/>
                <w:lang w:val="en-GB"/>
              </w:rPr>
            </w:pPr>
            <w:r w:rsidRPr="00BE37FE">
              <w:rPr>
                <w:sz w:val="22"/>
                <w:szCs w:val="22"/>
                <w:lang w:val="en-GB"/>
              </w:rPr>
              <w:t xml:space="preserve">4400-5000 MHz </w:t>
            </w:r>
          </w:p>
          <w:p w:rsidR="001A13D6" w:rsidRPr="001A13D6" w:rsidRDefault="001A13D6" w:rsidP="001A13D6">
            <w:pPr>
              <w:ind w:left="-42"/>
              <w:rPr>
                <w:sz w:val="22"/>
                <w:szCs w:val="22"/>
                <w:lang w:val="en-GB"/>
              </w:rPr>
            </w:pPr>
            <w:r w:rsidRPr="001A13D6">
              <w:rPr>
                <w:sz w:val="22"/>
                <w:szCs w:val="22"/>
                <w:lang w:val="en-GB"/>
              </w:rPr>
              <w:t xml:space="preserve">Taking into account already existing studies, further consideration and sharing/compatibility studies are needed before being able to decide in which bands an allocation to the mobile service or identification to IMT should be made. </w:t>
            </w:r>
          </w:p>
          <w:p w:rsidR="00EE4A74" w:rsidRPr="00924F3F" w:rsidRDefault="00EE4A74" w:rsidP="00924F3F">
            <w:pPr>
              <w:spacing w:after="0"/>
              <w:rPr>
                <w:sz w:val="22"/>
                <w:szCs w:val="22"/>
                <w:lang w:val="en-GB"/>
              </w:rPr>
            </w:pPr>
          </w:p>
        </w:tc>
      </w:tr>
      <w:tr w:rsidR="00D82060" w:rsidTr="00924F3F">
        <w:tc>
          <w:tcPr>
            <w:tcW w:w="817" w:type="dxa"/>
          </w:tcPr>
          <w:p w:rsidR="00D82060" w:rsidRPr="00924F3F" w:rsidRDefault="00D82060" w:rsidP="00924F3F">
            <w:pPr>
              <w:jc w:val="center"/>
              <w:rPr>
                <w:sz w:val="22"/>
                <w:szCs w:val="22"/>
              </w:rPr>
            </w:pPr>
            <w:r w:rsidRPr="00924F3F">
              <w:rPr>
                <w:sz w:val="22"/>
                <w:szCs w:val="22"/>
              </w:rPr>
              <w:lastRenderedPageBreak/>
              <w:t>1.6</w:t>
            </w:r>
          </w:p>
          <w:p w:rsidR="00D82060" w:rsidRPr="00924F3F" w:rsidRDefault="00D82060" w:rsidP="00924F3F">
            <w:pPr>
              <w:jc w:val="center"/>
              <w:rPr>
                <w:sz w:val="22"/>
                <w:szCs w:val="22"/>
              </w:rPr>
            </w:pPr>
          </w:p>
          <w:p w:rsidR="00D82060" w:rsidRDefault="00D82060" w:rsidP="00924F3F">
            <w:pPr>
              <w:jc w:val="center"/>
              <w:rPr>
                <w:color w:val="000000"/>
                <w:sz w:val="22"/>
                <w:szCs w:val="22"/>
              </w:rPr>
            </w:pPr>
            <w:r w:rsidRPr="00924F3F">
              <w:rPr>
                <w:color w:val="000000"/>
                <w:sz w:val="22"/>
                <w:szCs w:val="22"/>
              </w:rPr>
              <w:t>WP4A</w:t>
            </w:r>
          </w:p>
          <w:p w:rsidR="00127822" w:rsidRPr="00924F3F" w:rsidRDefault="00127822" w:rsidP="00924F3F">
            <w:pPr>
              <w:jc w:val="center"/>
              <w:rPr>
                <w:color w:val="000000"/>
                <w:sz w:val="22"/>
                <w:szCs w:val="22"/>
              </w:rPr>
            </w:pPr>
          </w:p>
        </w:tc>
        <w:tc>
          <w:tcPr>
            <w:tcW w:w="4253" w:type="dxa"/>
          </w:tcPr>
          <w:p w:rsidR="00D82060" w:rsidRPr="00924F3F" w:rsidRDefault="00D82060" w:rsidP="00924F3F">
            <w:pPr>
              <w:tabs>
                <w:tab w:val="num" w:pos="2250"/>
              </w:tabs>
              <w:rPr>
                <w:rFonts w:eastAsia="SimSun"/>
                <w:bCs/>
                <w:sz w:val="22"/>
                <w:szCs w:val="22"/>
                <w:lang w:val="en-GB" w:eastAsia="zh-CN"/>
              </w:rPr>
            </w:pPr>
            <w:r w:rsidRPr="00924F3F">
              <w:rPr>
                <w:rFonts w:eastAsia="SimSun"/>
                <w:bCs/>
                <w:sz w:val="22"/>
                <w:szCs w:val="22"/>
                <w:lang w:eastAsia="zh-CN"/>
              </w:rPr>
              <w:t>to consider possible additional primary allocations:</w:t>
            </w:r>
          </w:p>
          <w:p w:rsidR="00D82060" w:rsidRPr="00924F3F" w:rsidRDefault="00D82060" w:rsidP="00924F3F">
            <w:pPr>
              <w:tabs>
                <w:tab w:val="num" w:pos="2250"/>
              </w:tabs>
              <w:rPr>
                <w:rFonts w:eastAsia="SimSun"/>
                <w:sz w:val="22"/>
                <w:szCs w:val="22"/>
                <w:lang w:val="en-GB" w:eastAsia="zh-CN"/>
              </w:rPr>
            </w:pPr>
            <w:r w:rsidRPr="00924F3F">
              <w:rPr>
                <w:rFonts w:eastAsia="SimSun"/>
                <w:b/>
                <w:bCs/>
                <w:sz w:val="22"/>
                <w:szCs w:val="22"/>
                <w:lang w:val="en-GB" w:eastAsia="zh-CN"/>
              </w:rPr>
              <w:t>1.6.1</w:t>
            </w:r>
            <w:r w:rsidRPr="00924F3F">
              <w:rPr>
                <w:rFonts w:eastAsia="SimSun"/>
                <w:bCs/>
                <w:sz w:val="22"/>
                <w:szCs w:val="22"/>
                <w:lang w:val="en-GB" w:eastAsia="zh-CN"/>
              </w:rPr>
              <w:t>: to the</w:t>
            </w:r>
            <w:r w:rsidRPr="00924F3F">
              <w:rPr>
                <w:rFonts w:eastAsia="SimSun"/>
                <w:b/>
                <w:bCs/>
                <w:sz w:val="22"/>
                <w:szCs w:val="22"/>
                <w:lang w:val="en-GB" w:eastAsia="zh-CN"/>
              </w:rPr>
              <w:t xml:space="preserve"> </w:t>
            </w:r>
            <w:r w:rsidRPr="00924F3F">
              <w:rPr>
                <w:rFonts w:eastAsia="SimSun"/>
                <w:bCs/>
                <w:sz w:val="22"/>
                <w:szCs w:val="22"/>
                <w:lang w:val="en-GB" w:eastAsia="zh-CN"/>
              </w:rPr>
              <w:t>fixed-satellite</w:t>
            </w:r>
            <w:r w:rsidRPr="00924F3F">
              <w:rPr>
                <w:rFonts w:eastAsia="SimSun"/>
                <w:b/>
                <w:bCs/>
                <w:sz w:val="22"/>
                <w:szCs w:val="22"/>
                <w:lang w:val="en-GB" w:eastAsia="zh-CN"/>
              </w:rPr>
              <w:t xml:space="preserve"> </w:t>
            </w:r>
            <w:r w:rsidRPr="00924F3F">
              <w:rPr>
                <w:rFonts w:eastAsia="SimSun"/>
                <w:bCs/>
                <w:sz w:val="22"/>
                <w:szCs w:val="22"/>
                <w:lang w:val="en-GB" w:eastAsia="zh-CN"/>
              </w:rPr>
              <w:t>service (Earth-to-space and space-to-Earth) of 250 MHz in the range between 10 GHz and 17 GHz in Region 1 and review the regulatory provisions on the current allocations to the fixed-satellite service within each range, taking into account the results of ITU</w:t>
            </w:r>
            <w:r w:rsidRPr="00924F3F">
              <w:rPr>
                <w:rFonts w:eastAsia="SimSun"/>
                <w:bCs/>
                <w:sz w:val="22"/>
                <w:szCs w:val="22"/>
                <w:lang w:val="en-GB" w:eastAsia="zh-CN"/>
              </w:rPr>
              <w:noBreakHyphen/>
              <w:t xml:space="preserve">R studies, in accordance with </w:t>
            </w:r>
            <w:r w:rsidRPr="00924F3F">
              <w:rPr>
                <w:rFonts w:eastAsia="SimSun"/>
                <w:bCs/>
                <w:sz w:val="22"/>
                <w:szCs w:val="22"/>
                <w:lang w:val="en-GB" w:eastAsia="zh-CN"/>
              </w:rPr>
              <w:lastRenderedPageBreak/>
              <w:t>Resolution </w:t>
            </w:r>
            <w:r w:rsidRPr="00924F3F">
              <w:rPr>
                <w:rFonts w:eastAsia="SimSun"/>
                <w:sz w:val="22"/>
                <w:szCs w:val="22"/>
                <w:lang w:val="en-GB" w:eastAsia="zh-CN"/>
              </w:rPr>
              <w:t>151</w:t>
            </w:r>
            <w:r w:rsidRPr="00924F3F">
              <w:rPr>
                <w:rFonts w:eastAsia="SimSun"/>
                <w:bCs/>
                <w:sz w:val="22"/>
                <w:szCs w:val="22"/>
                <w:lang w:val="en-GB" w:eastAsia="zh-CN"/>
              </w:rPr>
              <w:t> </w:t>
            </w:r>
            <w:r w:rsidRPr="00924F3F">
              <w:rPr>
                <w:rFonts w:eastAsia="SimSun"/>
                <w:sz w:val="22"/>
                <w:szCs w:val="22"/>
                <w:lang w:val="en-GB" w:eastAsia="zh-CN"/>
              </w:rPr>
              <w:t>(WRC</w:t>
            </w:r>
            <w:r w:rsidRPr="00924F3F">
              <w:rPr>
                <w:rFonts w:eastAsia="SimSun"/>
                <w:sz w:val="22"/>
                <w:szCs w:val="22"/>
                <w:lang w:val="en-GB" w:eastAsia="zh-CN"/>
              </w:rPr>
              <w:noBreakHyphen/>
              <w:t>12).</w:t>
            </w:r>
          </w:p>
          <w:p w:rsidR="00D82060" w:rsidRPr="00924F3F" w:rsidRDefault="00D82060" w:rsidP="00924F3F">
            <w:pPr>
              <w:tabs>
                <w:tab w:val="num" w:pos="2250"/>
              </w:tabs>
              <w:rPr>
                <w:rFonts w:eastAsia="SimSun"/>
                <w:bCs/>
                <w:sz w:val="22"/>
                <w:szCs w:val="22"/>
                <w:lang w:val="en-GB" w:eastAsia="zh-CN"/>
              </w:rPr>
            </w:pPr>
            <w:r w:rsidRPr="00924F3F">
              <w:rPr>
                <w:rFonts w:eastAsia="SimSun"/>
                <w:b/>
                <w:bCs/>
                <w:sz w:val="22"/>
                <w:szCs w:val="22"/>
                <w:lang w:val="en-GB" w:eastAsia="zh-CN"/>
              </w:rPr>
              <w:t>1.6.2</w:t>
            </w:r>
            <w:r w:rsidRPr="00924F3F">
              <w:rPr>
                <w:rFonts w:eastAsia="SimSun"/>
                <w:bCs/>
                <w:sz w:val="22"/>
                <w:szCs w:val="22"/>
                <w:lang w:val="en-GB" w:eastAsia="zh-CN"/>
              </w:rPr>
              <w:t>: to the fixed-satellite service</w:t>
            </w:r>
            <w:r w:rsidRPr="00924F3F">
              <w:rPr>
                <w:rFonts w:eastAsia="SimSun"/>
                <w:b/>
                <w:bCs/>
                <w:sz w:val="22"/>
                <w:szCs w:val="22"/>
                <w:lang w:val="en-GB" w:eastAsia="zh-CN"/>
              </w:rPr>
              <w:t xml:space="preserve"> </w:t>
            </w:r>
            <w:r w:rsidRPr="00924F3F">
              <w:rPr>
                <w:rFonts w:eastAsia="SimSun"/>
                <w:bCs/>
                <w:sz w:val="22"/>
                <w:szCs w:val="22"/>
                <w:lang w:val="en-GB" w:eastAsia="zh-CN"/>
              </w:rPr>
              <w:t>(Earth-to-space) of 250 MHz in Region 2 and 300 MHz in Region 3 within the range 13-17 GHz and review the regulatory provisions on the current allocations to the fixed-satellite service within each range, taking into account the results of ITU</w:t>
            </w:r>
            <w:r w:rsidRPr="00924F3F">
              <w:rPr>
                <w:rFonts w:eastAsia="SimSun"/>
                <w:bCs/>
                <w:sz w:val="22"/>
                <w:szCs w:val="22"/>
                <w:lang w:val="en-GB" w:eastAsia="zh-CN"/>
              </w:rPr>
              <w:noBreakHyphen/>
              <w:t>R studies, in accordance with Resolution </w:t>
            </w:r>
            <w:r w:rsidRPr="00924F3F">
              <w:rPr>
                <w:rFonts w:eastAsia="SimSun"/>
                <w:sz w:val="22"/>
                <w:szCs w:val="22"/>
                <w:lang w:val="en-GB" w:eastAsia="zh-CN"/>
              </w:rPr>
              <w:t>152</w:t>
            </w:r>
            <w:r w:rsidRPr="00924F3F">
              <w:rPr>
                <w:rFonts w:eastAsia="SimSun"/>
                <w:bCs/>
                <w:sz w:val="22"/>
                <w:szCs w:val="22"/>
                <w:lang w:val="en-GB" w:eastAsia="zh-CN"/>
              </w:rPr>
              <w:t> </w:t>
            </w:r>
            <w:r w:rsidRPr="00924F3F">
              <w:rPr>
                <w:rFonts w:eastAsia="SimSun"/>
                <w:sz w:val="22"/>
                <w:szCs w:val="22"/>
                <w:lang w:val="en-GB" w:eastAsia="zh-CN"/>
              </w:rPr>
              <w:t>(WRC</w:t>
            </w:r>
            <w:r w:rsidRPr="00924F3F">
              <w:rPr>
                <w:rFonts w:eastAsia="SimSun"/>
                <w:sz w:val="22"/>
                <w:szCs w:val="22"/>
                <w:lang w:val="en-GB" w:eastAsia="zh-CN"/>
              </w:rPr>
              <w:noBreakHyphen/>
              <w:t>12).</w:t>
            </w:r>
          </w:p>
        </w:tc>
        <w:tc>
          <w:tcPr>
            <w:tcW w:w="4677" w:type="dxa"/>
          </w:tcPr>
          <w:p w:rsidR="00D82060" w:rsidRPr="00924F3F" w:rsidRDefault="00D82060" w:rsidP="007566C2">
            <w:pPr>
              <w:rPr>
                <w:sz w:val="22"/>
                <w:szCs w:val="22"/>
                <w:lang w:val="en-GB"/>
              </w:rPr>
            </w:pPr>
            <w:r w:rsidRPr="00924F3F">
              <w:rPr>
                <w:sz w:val="22"/>
                <w:szCs w:val="22"/>
                <w:lang w:val="en-GB"/>
              </w:rPr>
              <w:lastRenderedPageBreak/>
              <w:t>WMO opposes a new allocation to FSS in the 13.25-13.75 GHz frequency band.</w:t>
            </w:r>
          </w:p>
          <w:p w:rsidR="00D82060" w:rsidRPr="00924F3F" w:rsidRDefault="00D82060" w:rsidP="007566C2">
            <w:pPr>
              <w:rPr>
                <w:sz w:val="22"/>
                <w:szCs w:val="22"/>
                <w:lang w:val="en-GB"/>
              </w:rPr>
            </w:pPr>
            <w:r w:rsidRPr="00924F3F">
              <w:rPr>
                <w:sz w:val="22"/>
                <w:szCs w:val="22"/>
                <w:lang w:val="en-GB"/>
              </w:rPr>
              <w:t>WMO also opposes any allocation in the 10.6-10.7 GHz frequency band. WMO requires that protection of sensors in the band 10.6-10.7 GHz be ensured from unwanted emissions of FSS systems.</w:t>
            </w:r>
          </w:p>
          <w:p w:rsidR="00D82060" w:rsidRPr="00924F3F" w:rsidRDefault="00D82060" w:rsidP="007566C2">
            <w:pPr>
              <w:rPr>
                <w:sz w:val="22"/>
                <w:szCs w:val="22"/>
              </w:rPr>
            </w:pPr>
          </w:p>
        </w:tc>
        <w:tc>
          <w:tcPr>
            <w:tcW w:w="5670" w:type="dxa"/>
          </w:tcPr>
          <w:p w:rsidR="00497EC7" w:rsidRDefault="00497EC7" w:rsidP="007566C2">
            <w:pPr>
              <w:rPr>
                <w:b/>
                <w:sz w:val="22"/>
                <w:szCs w:val="22"/>
              </w:rPr>
            </w:pPr>
            <w:r>
              <w:rPr>
                <w:b/>
                <w:sz w:val="22"/>
                <w:szCs w:val="22"/>
              </w:rPr>
              <w:t>Status: PT-B (March 2014)</w:t>
            </w:r>
          </w:p>
          <w:p w:rsidR="00D82060" w:rsidRDefault="00D82060" w:rsidP="007566C2">
            <w:pPr>
              <w:rPr>
                <w:b/>
                <w:sz w:val="22"/>
                <w:szCs w:val="22"/>
              </w:rPr>
            </w:pPr>
            <w:r w:rsidRPr="00924F3F">
              <w:rPr>
                <w:b/>
                <w:sz w:val="22"/>
                <w:szCs w:val="22"/>
              </w:rPr>
              <w:t>AI 1.6.1:</w:t>
            </w:r>
          </w:p>
          <w:p w:rsidR="00127822" w:rsidRPr="00802BE3" w:rsidRDefault="00127822" w:rsidP="00127822">
            <w:pPr>
              <w:spacing w:after="120"/>
              <w:jc w:val="both"/>
            </w:pPr>
            <w:r w:rsidRPr="00802BE3">
              <w:t xml:space="preserve">СEPT supports the need for additional primary allocations of 250 MHz (Earth-to-space and space-to-Earth) to the GSO-FSS in frequency bands between 10 and 17 GHz in Region 1. Studies </w:t>
            </w:r>
            <w:r w:rsidRPr="0043073E">
              <w:t xml:space="preserve">should </w:t>
            </w:r>
            <w:r w:rsidRPr="00802BE3">
              <w:t xml:space="preserve">demonstrate compatibility with the existing services </w:t>
            </w:r>
            <w:r w:rsidRPr="0043073E">
              <w:t>before a primary allocation is to be made to the FSS in a particular frequency band</w:t>
            </w:r>
            <w:r w:rsidRPr="00802BE3">
              <w:t>.</w:t>
            </w:r>
          </w:p>
          <w:p w:rsidR="00127822" w:rsidRDefault="00127822" w:rsidP="00127822">
            <w:pPr>
              <w:jc w:val="both"/>
            </w:pPr>
            <w:r w:rsidRPr="00DD736A">
              <w:lastRenderedPageBreak/>
              <w:t>Based on the sharing studies preliminary results, CEPT identifies the following frequency bands as possible frequency bands for a new primary allocation of 250 MHz to GSO FSS subject to development of poss</w:t>
            </w:r>
            <w:r w:rsidRPr="0043073E">
              <w:t>ible mitigation technique if required (e.g. PFD mask, limitation of transmit antenna size, etc.).</w:t>
            </w:r>
          </w:p>
          <w:p w:rsidR="00127822" w:rsidRDefault="00127822" w:rsidP="00127822">
            <w:pPr>
              <w:spacing w:before="0" w:beforeAutospacing="0" w:after="0" w:afterAutospacing="0"/>
              <w:jc w:val="both"/>
              <w:rPr>
                <w:u w:val="single"/>
              </w:rPr>
            </w:pPr>
            <w:r w:rsidRPr="0043073E">
              <w:rPr>
                <w:u w:val="single"/>
              </w:rPr>
              <w:t>FSS (space-to-Earth):</w:t>
            </w:r>
          </w:p>
          <w:p w:rsidR="00127822" w:rsidRDefault="00127822" w:rsidP="00127822">
            <w:pPr>
              <w:numPr>
                <w:ilvl w:val="0"/>
                <w:numId w:val="10"/>
              </w:numPr>
              <w:spacing w:before="0" w:beforeAutospacing="0" w:after="0" w:afterAutospacing="0"/>
              <w:jc w:val="both"/>
            </w:pPr>
            <w:r w:rsidRPr="0043073E">
              <w:t>13.4-13.7</w:t>
            </w:r>
            <w:r w:rsidRPr="00DD736A">
              <w:t xml:space="preserve">5 GHz </w:t>
            </w:r>
            <w:r w:rsidRPr="0043073E">
              <w:t>with preference to the band 13.4-13.65 GHz</w:t>
            </w:r>
            <w:r w:rsidRPr="00DD736A">
              <w:t xml:space="preserve"> for </w:t>
            </w:r>
            <w:r w:rsidRPr="0043073E">
              <w:t>the gap between the uplink FSS allocations in the band 13.</w:t>
            </w:r>
            <w:r w:rsidRPr="00DD736A">
              <w:t>75-1</w:t>
            </w:r>
            <w:r w:rsidRPr="0043073E">
              <w:t>4.5 GHz;</w:t>
            </w:r>
          </w:p>
          <w:p w:rsidR="00127822" w:rsidRDefault="00127822" w:rsidP="00127822">
            <w:pPr>
              <w:numPr>
                <w:ilvl w:val="0"/>
                <w:numId w:val="10"/>
              </w:numPr>
              <w:spacing w:before="60"/>
              <w:jc w:val="both"/>
            </w:pPr>
            <w:r w:rsidRPr="00DD736A">
              <w:t>14.8-15.35 GHz</w:t>
            </w:r>
          </w:p>
          <w:p w:rsidR="00127822" w:rsidRDefault="00127822" w:rsidP="00127822">
            <w:pPr>
              <w:spacing w:before="0" w:beforeAutospacing="0" w:after="0" w:afterAutospacing="0"/>
              <w:jc w:val="both"/>
              <w:rPr>
                <w:u w:val="single"/>
              </w:rPr>
            </w:pPr>
            <w:r w:rsidRPr="0043073E">
              <w:rPr>
                <w:u w:val="single"/>
              </w:rPr>
              <w:t>FSS (Earth-to-space):</w:t>
            </w:r>
          </w:p>
          <w:p w:rsidR="00127822" w:rsidRDefault="00127822" w:rsidP="00127822">
            <w:pPr>
              <w:numPr>
                <w:ilvl w:val="0"/>
                <w:numId w:val="11"/>
              </w:numPr>
              <w:spacing w:before="0" w:beforeAutospacing="0"/>
              <w:jc w:val="both"/>
            </w:pPr>
            <w:r w:rsidRPr="0043073E">
              <w:t>[</w:t>
            </w:r>
            <w:r w:rsidRPr="00DD736A">
              <w:t>14.5-14.8 GHz</w:t>
            </w:r>
            <w:r w:rsidRPr="0043073E">
              <w:t>]</w:t>
            </w:r>
          </w:p>
          <w:p w:rsidR="00127822" w:rsidRPr="00127822" w:rsidRDefault="00127822" w:rsidP="00127822">
            <w:pPr>
              <w:pStyle w:val="ECCParagraph"/>
              <w:spacing w:before="120" w:after="120"/>
              <w:rPr>
                <w:rFonts w:ascii="Times New Roman" w:eastAsia="Calibri" w:hAnsi="Times New Roman"/>
                <w:sz w:val="24"/>
                <w:szCs w:val="24"/>
                <w:lang w:val="en-US"/>
              </w:rPr>
            </w:pPr>
            <w:r w:rsidRPr="00127822">
              <w:rPr>
                <w:rFonts w:ascii="Times New Roman" w:eastAsia="Calibri" w:hAnsi="Times New Roman"/>
                <w:sz w:val="24"/>
                <w:szCs w:val="24"/>
                <w:lang w:val="en-US"/>
              </w:rPr>
              <w:t>Mitigation measures (e g orbital separation) need to be implemented to protect the Space Research service in the bands 13.4-13.75 GHz, 14.5-14.8 GHz, 14.8-15.35 GHz and RAS in the adjacent band 15.35-15.4 GHz (RR 5.340).</w:t>
            </w:r>
          </w:p>
          <w:p w:rsidR="00127822" w:rsidRPr="00127822" w:rsidRDefault="00127822" w:rsidP="00127822">
            <w:pPr>
              <w:pStyle w:val="ECCParagraph"/>
              <w:spacing w:after="120"/>
              <w:rPr>
                <w:rFonts w:ascii="Times New Roman" w:eastAsia="Calibri" w:hAnsi="Times New Roman"/>
                <w:sz w:val="24"/>
                <w:szCs w:val="24"/>
                <w:lang w:val="en-US"/>
              </w:rPr>
            </w:pPr>
            <w:r w:rsidRPr="00127822">
              <w:rPr>
                <w:rFonts w:ascii="Times New Roman" w:eastAsia="Calibri" w:hAnsi="Times New Roman"/>
                <w:sz w:val="24"/>
                <w:szCs w:val="24"/>
                <w:lang w:val="en-US"/>
              </w:rPr>
              <w:t>Moreover, the deployment of transmitting Earth stations for the ACES systems operating under the standard frequency and time signal-satellite would need to be ensured without additional constraint that may result from the protection of FSS receiving Earth stations.</w:t>
            </w:r>
          </w:p>
          <w:p w:rsidR="00D82060" w:rsidRDefault="00D82060" w:rsidP="007566C2">
            <w:pPr>
              <w:rPr>
                <w:b/>
                <w:sz w:val="22"/>
                <w:szCs w:val="22"/>
              </w:rPr>
            </w:pPr>
            <w:r w:rsidRPr="00924F3F">
              <w:rPr>
                <w:b/>
                <w:sz w:val="22"/>
                <w:szCs w:val="22"/>
              </w:rPr>
              <w:t>AI 1.6.2:</w:t>
            </w:r>
          </w:p>
          <w:p w:rsidR="00127822" w:rsidRPr="00127822" w:rsidRDefault="00127822" w:rsidP="00127822">
            <w:pPr>
              <w:pStyle w:val="ECCParagraph"/>
              <w:rPr>
                <w:rFonts w:ascii="Times New Roman" w:eastAsia="Calibri" w:hAnsi="Times New Roman"/>
                <w:sz w:val="24"/>
                <w:szCs w:val="24"/>
                <w:lang w:val="en-US"/>
              </w:rPr>
            </w:pPr>
            <w:r w:rsidRPr="00127822">
              <w:rPr>
                <w:rFonts w:ascii="Times New Roman" w:eastAsia="Calibri" w:hAnsi="Times New Roman"/>
                <w:sz w:val="24"/>
                <w:szCs w:val="24"/>
                <w:lang w:val="en-US"/>
              </w:rPr>
              <w:t>CEPT supports a worldwide allocation for additional primary allocations (Earth-to-space) to the GSO-FSS in frequency bands between 13 and 17 GHz in all Regions.</w:t>
            </w:r>
          </w:p>
          <w:p w:rsidR="00127822" w:rsidRPr="00127822" w:rsidRDefault="00127822" w:rsidP="00127822">
            <w:pPr>
              <w:pStyle w:val="ECCParagraph"/>
              <w:rPr>
                <w:rFonts w:ascii="Times New Roman" w:eastAsia="Calibri" w:hAnsi="Times New Roman"/>
                <w:sz w:val="24"/>
                <w:szCs w:val="24"/>
                <w:lang w:val="en-US"/>
              </w:rPr>
            </w:pPr>
            <w:r w:rsidRPr="00127822">
              <w:rPr>
                <w:rFonts w:ascii="Times New Roman" w:eastAsia="Calibri" w:hAnsi="Times New Roman"/>
                <w:sz w:val="24"/>
                <w:szCs w:val="24"/>
                <w:lang w:val="en-US"/>
              </w:rPr>
              <w:lastRenderedPageBreak/>
              <w:t>CEPT considers that the additional allocation of 250 MHz to FSS (Earth-space) in Region 2 and 300 MHz in Region 3 in frequency bands between 13 and 17 GHz could be made only while ensuring compatibility with existing services in these frequency bands, taking into account radio services allocated in Region 1, if different FSS up-link bands are allocated in the Region 1 and Regions 2 and 3.</w:t>
            </w:r>
          </w:p>
          <w:p w:rsidR="00EE4A74" w:rsidRPr="00924F3F" w:rsidRDefault="00127822" w:rsidP="00127822">
            <w:pPr>
              <w:pStyle w:val="ECCParagraph"/>
              <w:rPr>
                <w:color w:val="00B050"/>
              </w:rPr>
            </w:pPr>
            <w:r w:rsidRPr="00127822">
              <w:rPr>
                <w:rFonts w:ascii="Times New Roman" w:eastAsia="Calibri" w:hAnsi="Times New Roman"/>
                <w:sz w:val="24"/>
                <w:szCs w:val="24"/>
                <w:lang w:val="en-US"/>
              </w:rPr>
              <w:t>CEPT does not support additional allocation to FSS in frequency bands 10.6-10.68 GHz under AI 1.6.1 and 15.35-15.4 GHz both for AIs 1.6.1 and 1.6.2 due to the difficulty of sharing with passive services operating in these bands.</w:t>
            </w:r>
          </w:p>
        </w:tc>
      </w:tr>
      <w:tr w:rsidR="00D82060" w:rsidTr="00924F3F">
        <w:tc>
          <w:tcPr>
            <w:tcW w:w="817" w:type="dxa"/>
          </w:tcPr>
          <w:p w:rsidR="00D82060" w:rsidRPr="00924F3F" w:rsidRDefault="00D82060" w:rsidP="00924F3F">
            <w:pPr>
              <w:jc w:val="center"/>
              <w:rPr>
                <w:sz w:val="22"/>
                <w:szCs w:val="22"/>
              </w:rPr>
            </w:pPr>
            <w:r w:rsidRPr="00924F3F">
              <w:rPr>
                <w:sz w:val="22"/>
                <w:szCs w:val="22"/>
              </w:rPr>
              <w:lastRenderedPageBreak/>
              <w:t>1.9.2</w:t>
            </w:r>
          </w:p>
          <w:p w:rsidR="00D82060" w:rsidRPr="00924F3F" w:rsidRDefault="00D82060" w:rsidP="00924F3F">
            <w:pPr>
              <w:jc w:val="center"/>
              <w:rPr>
                <w:color w:val="FF0000"/>
                <w:sz w:val="22"/>
                <w:szCs w:val="22"/>
              </w:rPr>
            </w:pPr>
          </w:p>
          <w:p w:rsidR="00D82060" w:rsidRPr="00924F3F" w:rsidRDefault="00D82060" w:rsidP="00924F3F">
            <w:pPr>
              <w:jc w:val="center"/>
              <w:rPr>
                <w:color w:val="000000"/>
                <w:sz w:val="22"/>
                <w:szCs w:val="22"/>
              </w:rPr>
            </w:pPr>
            <w:r w:rsidRPr="00924F3F">
              <w:rPr>
                <w:color w:val="000000"/>
                <w:sz w:val="22"/>
                <w:szCs w:val="22"/>
              </w:rPr>
              <w:t>WP4C</w:t>
            </w:r>
          </w:p>
        </w:tc>
        <w:tc>
          <w:tcPr>
            <w:tcW w:w="4253" w:type="dxa"/>
          </w:tcPr>
          <w:p w:rsidR="00D82060" w:rsidRPr="00924F3F" w:rsidRDefault="00D82060" w:rsidP="007566C2">
            <w:pPr>
              <w:rPr>
                <w:sz w:val="22"/>
                <w:szCs w:val="22"/>
              </w:rPr>
            </w:pPr>
            <w:proofErr w:type="gramStart"/>
            <w:r w:rsidRPr="00924F3F">
              <w:rPr>
                <w:sz w:val="22"/>
                <w:szCs w:val="22"/>
              </w:rPr>
              <w:t>to</w:t>
            </w:r>
            <w:proofErr w:type="gramEnd"/>
            <w:r w:rsidRPr="00924F3F">
              <w:rPr>
                <w:sz w:val="22"/>
                <w:szCs w:val="22"/>
              </w:rPr>
              <w:t xml:space="preserve"> consider, in accordance with Resolution </w:t>
            </w:r>
            <w:r w:rsidRPr="00924F3F">
              <w:rPr>
                <w:bCs/>
                <w:sz w:val="22"/>
                <w:szCs w:val="22"/>
              </w:rPr>
              <w:t>758</w:t>
            </w:r>
            <w:r w:rsidRPr="00924F3F">
              <w:rPr>
                <w:sz w:val="22"/>
                <w:szCs w:val="22"/>
              </w:rPr>
              <w:t> </w:t>
            </w:r>
            <w:r w:rsidRPr="00924F3F">
              <w:rPr>
                <w:bCs/>
                <w:sz w:val="22"/>
                <w:szCs w:val="22"/>
              </w:rPr>
              <w:t>(WRC</w:t>
            </w:r>
            <w:r w:rsidRPr="00924F3F">
              <w:rPr>
                <w:bCs/>
                <w:sz w:val="22"/>
                <w:szCs w:val="22"/>
              </w:rPr>
              <w:noBreakHyphen/>
              <w:t>12)</w:t>
            </w:r>
            <w:r w:rsidRPr="00924F3F">
              <w:rPr>
                <w:sz w:val="22"/>
                <w:szCs w:val="22"/>
              </w:rPr>
              <w:t xml:space="preserve"> the possibility of allocating the bands 7 375-7 750 MHz and 8 025-8 400 MHz to the maritime-mobile satellite service and additional regulatory measures, depending on the results of appropriate studies</w:t>
            </w:r>
            <w:r w:rsidRPr="00924F3F">
              <w:rPr>
                <w:bCs/>
                <w:sz w:val="22"/>
                <w:szCs w:val="22"/>
              </w:rPr>
              <w:t>.</w:t>
            </w:r>
          </w:p>
        </w:tc>
        <w:tc>
          <w:tcPr>
            <w:tcW w:w="4677" w:type="dxa"/>
          </w:tcPr>
          <w:p w:rsidR="00D82060" w:rsidRPr="00924F3F" w:rsidRDefault="00D82060" w:rsidP="007566C2">
            <w:pPr>
              <w:rPr>
                <w:sz w:val="22"/>
                <w:szCs w:val="22"/>
                <w:lang w:val="en-GB"/>
              </w:rPr>
            </w:pPr>
            <w:r w:rsidRPr="00924F3F">
              <w:rPr>
                <w:sz w:val="22"/>
                <w:szCs w:val="22"/>
                <w:lang w:val="en-GB"/>
              </w:rPr>
              <w:t>WMO considers that no new allocations to the MMSS should be made in these frequency bands unless acceptable sharing criteria with EESS and MetSat are developed. Particular concern is noted with regard to potential interference to EESS (space-to-Earth) operations in 8 025-8 400 MHz at high latitudes from ships operating in proximity.</w:t>
            </w:r>
          </w:p>
        </w:tc>
        <w:tc>
          <w:tcPr>
            <w:tcW w:w="5670" w:type="dxa"/>
          </w:tcPr>
          <w:p w:rsidR="00497EC7" w:rsidRDefault="00497EC7" w:rsidP="00497EC7">
            <w:pPr>
              <w:rPr>
                <w:b/>
                <w:sz w:val="22"/>
                <w:szCs w:val="22"/>
              </w:rPr>
            </w:pPr>
            <w:r>
              <w:rPr>
                <w:b/>
                <w:sz w:val="22"/>
                <w:szCs w:val="22"/>
              </w:rPr>
              <w:t>Status: PT-B (March 2014)</w:t>
            </w:r>
          </w:p>
          <w:p w:rsidR="00127822" w:rsidRPr="00127822" w:rsidRDefault="00127822" w:rsidP="00127822">
            <w:pPr>
              <w:pStyle w:val="ECCParagraph"/>
              <w:rPr>
                <w:rFonts w:ascii="Times New Roman" w:eastAsia="Calibri" w:hAnsi="Times New Roman"/>
              </w:rPr>
            </w:pPr>
            <w:r w:rsidRPr="00127822">
              <w:rPr>
                <w:rFonts w:ascii="Times New Roman" w:eastAsia="Calibri" w:hAnsi="Times New Roman"/>
              </w:rPr>
              <w:t xml:space="preserve">CEPT supported the on-going ITU-R studies on the possibility of making a new allocation to the MMSS in the bands 7 375-7 750 MHz (space-to-Earth) and 8 025-8 400 MHz (Earth-to-space), subject to not placing undue constraints to and to ensuring protection of the services already allocated in these frequency bands. </w:t>
            </w:r>
          </w:p>
          <w:p w:rsidR="00127822" w:rsidRPr="00127822" w:rsidRDefault="00127822" w:rsidP="00127822">
            <w:pPr>
              <w:pStyle w:val="ECCParagraph"/>
              <w:rPr>
                <w:rFonts w:ascii="Times New Roman" w:eastAsia="Calibri" w:hAnsi="Times New Roman"/>
              </w:rPr>
            </w:pPr>
            <w:r w:rsidRPr="00127822">
              <w:rPr>
                <w:rFonts w:ascii="Times New Roman" w:eastAsia="Calibri" w:hAnsi="Times New Roman"/>
              </w:rPr>
              <w:t>To this respect, CEPT does not support the usage of these bands for applications that could imply a deployment of a large number of Earth stations in the MMSS. In particular, CEPT does not support the usage of the bands 7 375-7 750 MHz (space-to-Earth) and 8 025-8 400 MHz (Earth-to-space) for e-navigation or GMDSS. This would require appropriate regulatory mechanisms, yet to be defined.</w:t>
            </w:r>
          </w:p>
          <w:p w:rsidR="00127822" w:rsidRPr="00127822" w:rsidRDefault="00127822" w:rsidP="00127822">
            <w:pPr>
              <w:pStyle w:val="ECCParagraph"/>
              <w:rPr>
                <w:rFonts w:ascii="Times New Roman" w:eastAsia="Calibri" w:hAnsi="Times New Roman"/>
              </w:rPr>
            </w:pPr>
            <w:r w:rsidRPr="00127822">
              <w:rPr>
                <w:rFonts w:ascii="Times New Roman" w:eastAsia="Calibri" w:hAnsi="Times New Roman"/>
              </w:rPr>
              <w:t xml:space="preserve">CEPT notes that the ITU-R and CEPT studies show that compatibility between EESS (space-to-Earth) and MMSS in the band 8025-8400 MHz requires the establishment of large </w:t>
            </w:r>
            <w:r w:rsidRPr="00127822">
              <w:rPr>
                <w:rFonts w:ascii="Times New Roman" w:eastAsia="Calibri" w:hAnsi="Times New Roman"/>
              </w:rPr>
              <w:lastRenderedPageBreak/>
              <w:t xml:space="preserve">exclusion zones around the EESS earth stations. CEPT also notes that the maintenance of an exclusion zones database and the enforcement of these exclusion zones for a steadily growing number of EESS Earth stations </w:t>
            </w:r>
            <w:proofErr w:type="gramStart"/>
            <w:r w:rsidRPr="00127822">
              <w:rPr>
                <w:rFonts w:ascii="Times New Roman" w:eastAsia="Calibri" w:hAnsi="Times New Roman"/>
              </w:rPr>
              <w:t>makes</w:t>
            </w:r>
            <w:proofErr w:type="gramEnd"/>
            <w:r w:rsidRPr="00127822">
              <w:rPr>
                <w:rFonts w:ascii="Times New Roman" w:eastAsia="Calibri" w:hAnsi="Times New Roman"/>
              </w:rPr>
              <w:t xml:space="preserve"> such an allocation impracticable. In addition, CEPT notes that the protection of SRS deep space stations in adjacent band would have to be ensured through a combination of unwanted emission limits and/or exclusions zones, therefore adding to the constraints on MMSS.</w:t>
            </w:r>
          </w:p>
          <w:p w:rsidR="00127822" w:rsidRPr="00127822" w:rsidRDefault="00127822" w:rsidP="00127822">
            <w:pPr>
              <w:pStyle w:val="ECCParagraph"/>
              <w:rPr>
                <w:rFonts w:ascii="Times New Roman" w:eastAsia="Calibri" w:hAnsi="Times New Roman"/>
              </w:rPr>
            </w:pPr>
            <w:r w:rsidRPr="00127822">
              <w:rPr>
                <w:rFonts w:ascii="Times New Roman" w:eastAsia="Calibri" w:hAnsi="Times New Roman"/>
              </w:rPr>
              <w:t xml:space="preserve">Consequently CEPT doesn’t support an allocation for MMSS in the band 8025-8400 MHz </w:t>
            </w:r>
            <w:proofErr w:type="gramStart"/>
            <w:r w:rsidRPr="00127822">
              <w:rPr>
                <w:rFonts w:ascii="Times New Roman" w:eastAsia="Calibri" w:hAnsi="Times New Roman"/>
              </w:rPr>
              <w:t>without  acceptable</w:t>
            </w:r>
            <w:proofErr w:type="gramEnd"/>
            <w:r w:rsidRPr="00127822">
              <w:rPr>
                <w:rFonts w:ascii="Times New Roman" w:eastAsia="Calibri" w:hAnsi="Times New Roman"/>
              </w:rPr>
              <w:t xml:space="preserve"> and practicable regulatory methods.</w:t>
            </w:r>
          </w:p>
          <w:p w:rsidR="00D82060" w:rsidRPr="00924F3F" w:rsidRDefault="00127822" w:rsidP="00127822">
            <w:pPr>
              <w:pStyle w:val="ECCParagraph"/>
            </w:pPr>
            <w:r>
              <w:rPr>
                <w:rFonts w:ascii="Times New Roman" w:eastAsia="Calibri" w:hAnsi="Times New Roman"/>
              </w:rPr>
              <w:t xml:space="preserve">Note: </w:t>
            </w:r>
            <w:r w:rsidRPr="00127822">
              <w:rPr>
                <w:rFonts w:ascii="Times New Roman" w:eastAsia="Calibri" w:hAnsi="Times New Roman"/>
              </w:rPr>
              <w:t>Position on the band 7375-7750 MHz still to be developed.</w:t>
            </w:r>
          </w:p>
        </w:tc>
      </w:tr>
      <w:tr w:rsidR="00D82060" w:rsidTr="00924F3F">
        <w:tc>
          <w:tcPr>
            <w:tcW w:w="817" w:type="dxa"/>
          </w:tcPr>
          <w:p w:rsidR="00D82060" w:rsidRPr="00924F3F" w:rsidRDefault="00D82060" w:rsidP="00924F3F">
            <w:pPr>
              <w:jc w:val="center"/>
              <w:rPr>
                <w:sz w:val="22"/>
                <w:szCs w:val="22"/>
              </w:rPr>
            </w:pPr>
            <w:r w:rsidRPr="00924F3F">
              <w:rPr>
                <w:sz w:val="22"/>
                <w:szCs w:val="22"/>
              </w:rPr>
              <w:lastRenderedPageBreak/>
              <w:t>1.10</w:t>
            </w:r>
          </w:p>
          <w:p w:rsidR="00D82060" w:rsidRPr="00924F3F" w:rsidRDefault="00D82060" w:rsidP="00924F3F">
            <w:pPr>
              <w:jc w:val="center"/>
              <w:rPr>
                <w:sz w:val="22"/>
                <w:szCs w:val="22"/>
              </w:rPr>
            </w:pPr>
          </w:p>
          <w:p w:rsidR="00D82060" w:rsidRPr="00924F3F" w:rsidRDefault="00D82060" w:rsidP="00924F3F">
            <w:pPr>
              <w:jc w:val="center"/>
              <w:rPr>
                <w:color w:val="000000"/>
                <w:sz w:val="22"/>
                <w:szCs w:val="22"/>
              </w:rPr>
            </w:pPr>
            <w:r w:rsidRPr="00924F3F">
              <w:rPr>
                <w:color w:val="000000"/>
                <w:sz w:val="22"/>
                <w:szCs w:val="22"/>
              </w:rPr>
              <w:t>WP4C</w:t>
            </w:r>
          </w:p>
        </w:tc>
        <w:tc>
          <w:tcPr>
            <w:tcW w:w="4253" w:type="dxa"/>
          </w:tcPr>
          <w:p w:rsidR="00D82060" w:rsidRPr="00924F3F" w:rsidRDefault="00D82060" w:rsidP="00924F3F">
            <w:pPr>
              <w:tabs>
                <w:tab w:val="left" w:pos="3480"/>
              </w:tabs>
              <w:rPr>
                <w:sz w:val="22"/>
                <w:szCs w:val="22"/>
                <w:lang w:val="en-GB"/>
              </w:rPr>
            </w:pPr>
            <w:proofErr w:type="gramStart"/>
            <w:r w:rsidRPr="00924F3F">
              <w:rPr>
                <w:sz w:val="22"/>
                <w:szCs w:val="22"/>
              </w:rPr>
              <w:t>to</w:t>
            </w:r>
            <w:proofErr w:type="gramEnd"/>
            <w:r w:rsidRPr="00924F3F">
              <w:rPr>
                <w:sz w:val="22"/>
                <w:szCs w:val="22"/>
              </w:rPr>
              <w:t xml:space="preserve">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234 (WRC</w:t>
            </w:r>
            <w:r w:rsidRPr="00924F3F">
              <w:rPr>
                <w:sz w:val="22"/>
                <w:szCs w:val="22"/>
              </w:rPr>
              <w:noBreakHyphen/>
              <w:t>12).</w:t>
            </w:r>
          </w:p>
        </w:tc>
        <w:tc>
          <w:tcPr>
            <w:tcW w:w="4677" w:type="dxa"/>
          </w:tcPr>
          <w:p w:rsidR="00D82060" w:rsidRPr="00924F3F" w:rsidRDefault="00D82060" w:rsidP="007566C2">
            <w:pPr>
              <w:rPr>
                <w:sz w:val="22"/>
                <w:szCs w:val="22"/>
                <w:lang w:val="en-GB"/>
              </w:rPr>
            </w:pPr>
            <w:r w:rsidRPr="00924F3F">
              <w:rPr>
                <w:sz w:val="22"/>
                <w:szCs w:val="22"/>
                <w:lang w:val="en-GB"/>
              </w:rPr>
              <w:t>WMO opposes new MSS allocations in the 23.6-24 GHz and 25.5–26.0 GHz frequency ranges. Allocations to MSS in other portions of the 22-26 GHz frequency range will have to be associated with the adequate protection of EESS applications from emissions of MSS systems.</w:t>
            </w:r>
          </w:p>
          <w:p w:rsidR="00D82060" w:rsidRPr="00924F3F" w:rsidRDefault="00D82060" w:rsidP="007566C2">
            <w:pPr>
              <w:rPr>
                <w:sz w:val="22"/>
                <w:szCs w:val="22"/>
              </w:rPr>
            </w:pPr>
          </w:p>
        </w:tc>
        <w:tc>
          <w:tcPr>
            <w:tcW w:w="5670" w:type="dxa"/>
          </w:tcPr>
          <w:p w:rsidR="00497EC7" w:rsidRDefault="00497EC7" w:rsidP="00497EC7">
            <w:pPr>
              <w:rPr>
                <w:b/>
                <w:sz w:val="22"/>
                <w:szCs w:val="22"/>
              </w:rPr>
            </w:pPr>
            <w:r>
              <w:rPr>
                <w:b/>
                <w:sz w:val="22"/>
                <w:szCs w:val="22"/>
              </w:rPr>
              <w:t>Status: PT-B (March 2014)</w:t>
            </w:r>
          </w:p>
          <w:p w:rsidR="00D82060" w:rsidRPr="00924F3F" w:rsidRDefault="00127822" w:rsidP="007566C2">
            <w:pPr>
              <w:rPr>
                <w:sz w:val="22"/>
                <w:szCs w:val="22"/>
              </w:rPr>
            </w:pPr>
            <w:r w:rsidRPr="00127822">
              <w:rPr>
                <w:sz w:val="22"/>
                <w:szCs w:val="22"/>
              </w:rPr>
              <w:t>CEPT sees difficulties, in particular in sharing, for MSS allocations within the frequency range 22-26 GHz and does not support such additional allocations under this Agenda Item. Further to this agenda item CEPT does not see a need for additional spectrum and therefore requests justification for possible spectrum allocations for the MSS in the band frequency range 22-26 GHz.</w:t>
            </w:r>
          </w:p>
        </w:tc>
      </w:tr>
      <w:tr w:rsidR="00D82060" w:rsidTr="00924F3F">
        <w:tc>
          <w:tcPr>
            <w:tcW w:w="817" w:type="dxa"/>
          </w:tcPr>
          <w:p w:rsidR="00D82060" w:rsidRPr="00924F3F" w:rsidRDefault="00D82060" w:rsidP="00924F3F">
            <w:pPr>
              <w:jc w:val="center"/>
              <w:rPr>
                <w:sz w:val="22"/>
                <w:szCs w:val="22"/>
              </w:rPr>
            </w:pPr>
            <w:r w:rsidRPr="00924F3F">
              <w:rPr>
                <w:sz w:val="22"/>
                <w:szCs w:val="22"/>
              </w:rPr>
              <w:t>1.11</w:t>
            </w:r>
          </w:p>
          <w:p w:rsidR="00D82060" w:rsidRPr="00924F3F" w:rsidRDefault="00D82060" w:rsidP="00924F3F">
            <w:pPr>
              <w:jc w:val="center"/>
              <w:rPr>
                <w:sz w:val="22"/>
                <w:szCs w:val="22"/>
              </w:rPr>
            </w:pPr>
          </w:p>
          <w:p w:rsidR="00D82060" w:rsidRPr="00924F3F" w:rsidRDefault="00D82060" w:rsidP="00924F3F">
            <w:pPr>
              <w:jc w:val="center"/>
              <w:rPr>
                <w:color w:val="000000"/>
                <w:sz w:val="22"/>
                <w:szCs w:val="22"/>
              </w:rPr>
            </w:pPr>
            <w:r w:rsidRPr="00924F3F">
              <w:rPr>
                <w:color w:val="000000"/>
                <w:sz w:val="22"/>
                <w:szCs w:val="22"/>
              </w:rPr>
              <w:t>WP7B</w:t>
            </w:r>
          </w:p>
        </w:tc>
        <w:tc>
          <w:tcPr>
            <w:tcW w:w="4253" w:type="dxa"/>
          </w:tcPr>
          <w:p w:rsidR="00D82060" w:rsidRPr="00924F3F" w:rsidRDefault="00D82060" w:rsidP="007566C2">
            <w:pPr>
              <w:rPr>
                <w:sz w:val="22"/>
                <w:szCs w:val="22"/>
              </w:rPr>
            </w:pPr>
            <w:proofErr w:type="gramStart"/>
            <w:r w:rsidRPr="00924F3F">
              <w:rPr>
                <w:sz w:val="22"/>
                <w:szCs w:val="22"/>
              </w:rPr>
              <w:t>to</w:t>
            </w:r>
            <w:proofErr w:type="gramEnd"/>
            <w:r w:rsidRPr="00924F3F">
              <w:rPr>
                <w:sz w:val="22"/>
                <w:szCs w:val="22"/>
              </w:rPr>
              <w:t xml:space="preserve"> consider a primary allocation for the</w:t>
            </w:r>
            <w:r w:rsidRPr="00924F3F">
              <w:rPr>
                <w:b/>
                <w:sz w:val="22"/>
                <w:szCs w:val="22"/>
              </w:rPr>
              <w:t xml:space="preserve"> </w:t>
            </w:r>
            <w:r w:rsidRPr="00924F3F">
              <w:rPr>
                <w:sz w:val="22"/>
                <w:szCs w:val="22"/>
              </w:rPr>
              <w:t>Earth exploration-satellite service (Earth-to-space) in the 7-8 GHz range, in accordance with</w:t>
            </w:r>
            <w:r w:rsidRPr="00924F3F">
              <w:rPr>
                <w:bCs/>
                <w:sz w:val="22"/>
                <w:szCs w:val="22"/>
              </w:rPr>
              <w:t xml:space="preserve"> </w:t>
            </w:r>
            <w:r w:rsidRPr="00924F3F">
              <w:rPr>
                <w:sz w:val="22"/>
                <w:szCs w:val="22"/>
              </w:rPr>
              <w:t>Resolution </w:t>
            </w:r>
            <w:r w:rsidRPr="00924F3F">
              <w:rPr>
                <w:bCs/>
                <w:sz w:val="22"/>
                <w:szCs w:val="22"/>
              </w:rPr>
              <w:t>650</w:t>
            </w:r>
            <w:r w:rsidRPr="00924F3F">
              <w:rPr>
                <w:sz w:val="22"/>
                <w:szCs w:val="22"/>
              </w:rPr>
              <w:t> (WRC</w:t>
            </w:r>
            <w:r w:rsidRPr="00924F3F">
              <w:rPr>
                <w:sz w:val="22"/>
                <w:szCs w:val="22"/>
              </w:rPr>
              <w:noBreakHyphen/>
              <w:t>12).</w:t>
            </w:r>
          </w:p>
        </w:tc>
        <w:tc>
          <w:tcPr>
            <w:tcW w:w="4677" w:type="dxa"/>
          </w:tcPr>
          <w:p w:rsidR="00D82060" w:rsidRPr="00924F3F" w:rsidRDefault="00D82060" w:rsidP="007566C2">
            <w:pPr>
              <w:rPr>
                <w:bCs/>
                <w:sz w:val="22"/>
                <w:szCs w:val="22"/>
                <w:lang w:val="en-GB"/>
              </w:rPr>
            </w:pPr>
            <w:r w:rsidRPr="00924F3F">
              <w:rPr>
                <w:bCs/>
                <w:sz w:val="22"/>
                <w:szCs w:val="22"/>
                <w:lang w:val="en-GB"/>
              </w:rPr>
              <w:t>WMO supports a new EESS (Earth-to-space) allocation in the 7-8 GHz frequency band, provided that compatibility with meteorological-satellite systems operating in the bands 7 450-7 550 MHz and 7 750-7 900 MHz is ensured.</w:t>
            </w:r>
          </w:p>
          <w:p w:rsidR="00D82060" w:rsidRPr="00924F3F" w:rsidRDefault="00D82060" w:rsidP="007566C2">
            <w:pPr>
              <w:rPr>
                <w:b/>
                <w:bCs/>
                <w:sz w:val="22"/>
                <w:szCs w:val="22"/>
              </w:rPr>
            </w:pPr>
          </w:p>
        </w:tc>
        <w:tc>
          <w:tcPr>
            <w:tcW w:w="5670" w:type="dxa"/>
          </w:tcPr>
          <w:p w:rsidR="00497EC7" w:rsidRDefault="00497EC7" w:rsidP="00497EC7">
            <w:pPr>
              <w:rPr>
                <w:b/>
                <w:sz w:val="22"/>
                <w:szCs w:val="22"/>
              </w:rPr>
            </w:pPr>
            <w:r>
              <w:rPr>
                <w:b/>
                <w:sz w:val="22"/>
                <w:szCs w:val="22"/>
              </w:rPr>
              <w:t>Status: PT-A (January 2014)</w:t>
            </w:r>
          </w:p>
          <w:p w:rsidR="00B72FC8" w:rsidRPr="00B72FC8" w:rsidRDefault="00B72FC8" w:rsidP="00B72FC8">
            <w:pPr>
              <w:pStyle w:val="ECCParagraph"/>
              <w:rPr>
                <w:rFonts w:ascii="Times New Roman" w:eastAsia="Calibri" w:hAnsi="Times New Roman"/>
              </w:rPr>
            </w:pPr>
            <w:r w:rsidRPr="00B72FC8">
              <w:rPr>
                <w:rFonts w:ascii="Times New Roman" w:eastAsia="Calibri" w:hAnsi="Times New Roman"/>
              </w:rPr>
              <w:t>CEPT supports the allocation of the frequency band 7190-7250 MHz on a primary basis to the Earth exploration-satellite service (Earth-to-space).</w:t>
            </w:r>
          </w:p>
          <w:p w:rsidR="00B72FC8" w:rsidRPr="00B72FC8" w:rsidRDefault="00B72FC8" w:rsidP="00B72FC8">
            <w:pPr>
              <w:pStyle w:val="ECCParagraph"/>
              <w:rPr>
                <w:rFonts w:ascii="Times New Roman" w:eastAsia="Calibri" w:hAnsi="Times New Roman"/>
              </w:rPr>
            </w:pPr>
            <w:r w:rsidRPr="00B72FC8">
              <w:rPr>
                <w:rFonts w:ascii="Times New Roman" w:eastAsia="Calibri" w:hAnsi="Times New Roman"/>
              </w:rPr>
              <w:t xml:space="preserve">The SOS allocated in the Russian Federation in the band 7190-7235 MHz needs to be protected and the sharing studies </w:t>
            </w:r>
            <w:r w:rsidRPr="00B72FC8">
              <w:rPr>
                <w:rFonts w:ascii="Times New Roman" w:eastAsia="Calibri" w:hAnsi="Times New Roman"/>
              </w:rPr>
              <w:lastRenderedPageBreak/>
              <w:t>EESS-SOS need to be finalised.</w:t>
            </w:r>
          </w:p>
          <w:p w:rsidR="00B72FC8" w:rsidRPr="00B72FC8" w:rsidRDefault="00B72FC8" w:rsidP="00B72FC8">
            <w:pPr>
              <w:pStyle w:val="ECCParagraph"/>
              <w:rPr>
                <w:rFonts w:ascii="Times New Roman" w:eastAsia="Calibri" w:hAnsi="Times New Roman"/>
              </w:rPr>
            </w:pPr>
            <w:r w:rsidRPr="00B72FC8">
              <w:rPr>
                <w:rFonts w:ascii="Times New Roman" w:eastAsia="Calibri" w:hAnsi="Times New Roman"/>
              </w:rPr>
              <w:t>CEPT recognizes that EESS (E-s) cannot share with SRS (deep space) in 7145-7190 MHz band.</w:t>
            </w:r>
          </w:p>
          <w:p w:rsidR="00D82060" w:rsidRPr="00924F3F" w:rsidRDefault="00D82060" w:rsidP="007566C2">
            <w:pPr>
              <w:rPr>
                <w:bCs/>
                <w:sz w:val="22"/>
                <w:szCs w:val="22"/>
                <w:lang w:val="en-AU"/>
              </w:rPr>
            </w:pPr>
          </w:p>
        </w:tc>
      </w:tr>
      <w:tr w:rsidR="00497EC7" w:rsidTr="00924F3F">
        <w:tc>
          <w:tcPr>
            <w:tcW w:w="817" w:type="dxa"/>
          </w:tcPr>
          <w:p w:rsidR="00497EC7" w:rsidRPr="00924F3F" w:rsidRDefault="00497EC7" w:rsidP="00924F3F">
            <w:pPr>
              <w:jc w:val="center"/>
              <w:rPr>
                <w:sz w:val="22"/>
                <w:szCs w:val="22"/>
              </w:rPr>
            </w:pPr>
            <w:r w:rsidRPr="00924F3F">
              <w:rPr>
                <w:sz w:val="22"/>
                <w:szCs w:val="22"/>
              </w:rPr>
              <w:lastRenderedPageBreak/>
              <w:t>1.12</w:t>
            </w:r>
          </w:p>
          <w:p w:rsidR="00497EC7" w:rsidRPr="00924F3F" w:rsidRDefault="00497EC7" w:rsidP="00924F3F">
            <w:pPr>
              <w:jc w:val="center"/>
              <w:rPr>
                <w:sz w:val="22"/>
                <w:szCs w:val="22"/>
              </w:rPr>
            </w:pPr>
          </w:p>
          <w:p w:rsidR="00497EC7" w:rsidRPr="00924F3F" w:rsidRDefault="00497EC7" w:rsidP="00924F3F">
            <w:pPr>
              <w:jc w:val="center"/>
              <w:rPr>
                <w:color w:val="000000"/>
                <w:sz w:val="22"/>
                <w:szCs w:val="22"/>
              </w:rPr>
            </w:pPr>
            <w:r w:rsidRPr="00924F3F">
              <w:rPr>
                <w:color w:val="000000"/>
                <w:sz w:val="22"/>
                <w:szCs w:val="22"/>
              </w:rPr>
              <w:t>WP7C</w:t>
            </w:r>
          </w:p>
        </w:tc>
        <w:tc>
          <w:tcPr>
            <w:tcW w:w="4253" w:type="dxa"/>
          </w:tcPr>
          <w:p w:rsidR="00497EC7" w:rsidRPr="00924F3F" w:rsidRDefault="00497EC7" w:rsidP="007566C2">
            <w:pPr>
              <w:rPr>
                <w:sz w:val="22"/>
                <w:szCs w:val="22"/>
              </w:rPr>
            </w:pPr>
            <w:proofErr w:type="gramStart"/>
            <w:r w:rsidRPr="00924F3F">
              <w:rPr>
                <w:sz w:val="22"/>
                <w:szCs w:val="22"/>
              </w:rPr>
              <w:t>to</w:t>
            </w:r>
            <w:proofErr w:type="gramEnd"/>
            <w:r w:rsidRPr="00924F3F">
              <w:rPr>
                <w:sz w:val="22"/>
                <w:szCs w:val="22"/>
              </w:rPr>
              <w:t xml:space="preserve"> consider an extension of the current worldwide allocation to the Earth exploration-satellite (active) service in the frequency band 9 300-9 900 MHz by up to 600 MHz within the frequency bands 8 700-9 300 MHz and/or 9 900-10 500 MHz, in accordance with Resolution </w:t>
            </w:r>
            <w:r w:rsidRPr="00924F3F">
              <w:rPr>
                <w:bCs/>
                <w:sz w:val="22"/>
                <w:szCs w:val="22"/>
              </w:rPr>
              <w:t>651</w:t>
            </w:r>
            <w:r w:rsidRPr="00924F3F">
              <w:rPr>
                <w:sz w:val="22"/>
                <w:szCs w:val="22"/>
              </w:rPr>
              <w:t> </w:t>
            </w:r>
            <w:r w:rsidRPr="00924F3F">
              <w:rPr>
                <w:bCs/>
                <w:sz w:val="22"/>
                <w:szCs w:val="22"/>
              </w:rPr>
              <w:t>(WRC</w:t>
            </w:r>
            <w:r w:rsidRPr="00924F3F">
              <w:rPr>
                <w:bCs/>
                <w:sz w:val="22"/>
                <w:szCs w:val="22"/>
              </w:rPr>
              <w:noBreakHyphen/>
              <w:t>12)</w:t>
            </w:r>
            <w:r w:rsidRPr="00924F3F">
              <w:rPr>
                <w:sz w:val="22"/>
                <w:szCs w:val="22"/>
              </w:rPr>
              <w:t>.</w:t>
            </w:r>
          </w:p>
        </w:tc>
        <w:tc>
          <w:tcPr>
            <w:tcW w:w="4677" w:type="dxa"/>
          </w:tcPr>
          <w:p w:rsidR="00497EC7" w:rsidRPr="00924F3F" w:rsidRDefault="00497EC7" w:rsidP="007566C2">
            <w:pPr>
              <w:rPr>
                <w:sz w:val="22"/>
                <w:szCs w:val="22"/>
              </w:rPr>
            </w:pPr>
            <w:r w:rsidRPr="00924F3F">
              <w:rPr>
                <w:sz w:val="22"/>
                <w:szCs w:val="22"/>
              </w:rPr>
              <w:t>WMO urges that a new EESS (Earth-to-space) allocation in the 9 GHz frequency range shall ensure adequate protection of meteorological applications, in particular, meteorological radars in the frequency band 9 300-9 500 MHz and passive sensors in the frequency band 10.6-10.7 GHz.</w:t>
            </w:r>
          </w:p>
          <w:p w:rsidR="00497EC7" w:rsidRPr="00924F3F" w:rsidRDefault="00497EC7" w:rsidP="007566C2">
            <w:pPr>
              <w:rPr>
                <w:sz w:val="22"/>
                <w:szCs w:val="22"/>
              </w:rPr>
            </w:pPr>
          </w:p>
        </w:tc>
        <w:tc>
          <w:tcPr>
            <w:tcW w:w="5670" w:type="dxa"/>
          </w:tcPr>
          <w:p w:rsidR="00497EC7" w:rsidRDefault="00497EC7" w:rsidP="00127822">
            <w:pPr>
              <w:rPr>
                <w:b/>
                <w:sz w:val="22"/>
                <w:szCs w:val="22"/>
              </w:rPr>
            </w:pPr>
            <w:r>
              <w:rPr>
                <w:b/>
                <w:sz w:val="22"/>
                <w:szCs w:val="22"/>
              </w:rPr>
              <w:t>Status: PT-A (January 2014)</w:t>
            </w:r>
          </w:p>
          <w:p w:rsidR="00B72FC8" w:rsidRPr="00B72FC8" w:rsidRDefault="00B72FC8" w:rsidP="00AC408D">
            <w:pPr>
              <w:rPr>
                <w:bCs/>
                <w:sz w:val="22"/>
                <w:szCs w:val="22"/>
                <w:lang w:val="en-AU"/>
              </w:rPr>
            </w:pPr>
            <w:r w:rsidRPr="00B72FC8">
              <w:rPr>
                <w:bCs/>
                <w:sz w:val="22"/>
                <w:szCs w:val="22"/>
                <w:lang w:val="en-AU"/>
              </w:rPr>
              <w:t>CEPT currently supports the allocation of additional radio frequency spectrum of 600 MHz in the frequency band [9 200-9 300 MHz and 9.9-10.4 GHz / 9.9-10.5 GHz] to the Earth Exploration-Satellite Service (active) with a [primary] status. Stations in the Earth exploration-satellite service (active) shall not cause harmful interference to, nor claim protection from, stations operating in the Radio Determination Services allocated in the same frequency bands.</w:t>
            </w:r>
          </w:p>
          <w:p w:rsidR="00497EC7" w:rsidRPr="00924F3F" w:rsidRDefault="00B72FC8" w:rsidP="00B72FC8">
            <w:pPr>
              <w:spacing w:after="240" w:afterAutospacing="0"/>
              <w:rPr>
                <w:bCs/>
                <w:sz w:val="22"/>
                <w:szCs w:val="22"/>
                <w:lang w:val="en-AU"/>
              </w:rPr>
            </w:pPr>
            <w:r w:rsidRPr="00B72FC8">
              <w:rPr>
                <w:bCs/>
                <w:sz w:val="22"/>
                <w:szCs w:val="22"/>
                <w:lang w:val="en-AU"/>
              </w:rPr>
              <w:t>Provisions for the protection of Fixed, Mobile, Space Research and Radio Astronomy Services from EESS (active) need to be implemented, as appropriate.</w:t>
            </w:r>
          </w:p>
        </w:tc>
      </w:tr>
      <w:tr w:rsidR="00D82060" w:rsidTr="00924F3F">
        <w:tc>
          <w:tcPr>
            <w:tcW w:w="817" w:type="dxa"/>
          </w:tcPr>
          <w:p w:rsidR="00D82060" w:rsidRPr="00924F3F" w:rsidRDefault="00D82060" w:rsidP="00924F3F">
            <w:pPr>
              <w:jc w:val="center"/>
              <w:rPr>
                <w:sz w:val="22"/>
                <w:szCs w:val="22"/>
              </w:rPr>
            </w:pPr>
            <w:r w:rsidRPr="00924F3F">
              <w:rPr>
                <w:sz w:val="22"/>
                <w:szCs w:val="22"/>
              </w:rPr>
              <w:t>1.17</w:t>
            </w:r>
          </w:p>
          <w:p w:rsidR="00D82060" w:rsidRPr="00924F3F" w:rsidRDefault="00D82060" w:rsidP="00924F3F">
            <w:pPr>
              <w:jc w:val="center"/>
              <w:rPr>
                <w:sz w:val="22"/>
                <w:szCs w:val="22"/>
              </w:rPr>
            </w:pPr>
          </w:p>
          <w:p w:rsidR="00D82060" w:rsidRPr="00924F3F" w:rsidRDefault="00D82060" w:rsidP="00924F3F">
            <w:pPr>
              <w:jc w:val="center"/>
              <w:rPr>
                <w:color w:val="000000"/>
                <w:sz w:val="22"/>
                <w:szCs w:val="22"/>
              </w:rPr>
            </w:pPr>
            <w:r w:rsidRPr="00924F3F">
              <w:rPr>
                <w:color w:val="000000"/>
                <w:sz w:val="22"/>
                <w:szCs w:val="22"/>
              </w:rPr>
              <w:t>WP5B</w:t>
            </w:r>
          </w:p>
        </w:tc>
        <w:tc>
          <w:tcPr>
            <w:tcW w:w="4253" w:type="dxa"/>
          </w:tcPr>
          <w:p w:rsidR="00D82060" w:rsidRPr="00924F3F" w:rsidRDefault="00D82060" w:rsidP="00924F3F">
            <w:pPr>
              <w:tabs>
                <w:tab w:val="left" w:pos="1755"/>
              </w:tabs>
              <w:rPr>
                <w:sz w:val="22"/>
                <w:szCs w:val="22"/>
              </w:rPr>
            </w:pPr>
            <w:proofErr w:type="gramStart"/>
            <w:r w:rsidRPr="00924F3F">
              <w:rPr>
                <w:sz w:val="22"/>
                <w:szCs w:val="22"/>
              </w:rPr>
              <w:t>to</w:t>
            </w:r>
            <w:proofErr w:type="gramEnd"/>
            <w:r w:rsidRPr="00924F3F">
              <w:rPr>
                <w:sz w:val="22"/>
                <w:szCs w:val="22"/>
              </w:rPr>
              <w:t xml:space="preserve"> consider possible spectrum requirements and regulatory actions, including appropriate aeronautical allocations, to support wireless avionics intra-communications (WAIC), in accordance with</w:t>
            </w:r>
            <w:r w:rsidRPr="00924F3F">
              <w:rPr>
                <w:bCs/>
                <w:sz w:val="22"/>
                <w:szCs w:val="22"/>
              </w:rPr>
              <w:t xml:space="preserve"> </w:t>
            </w:r>
            <w:r w:rsidRPr="00924F3F">
              <w:rPr>
                <w:sz w:val="22"/>
                <w:szCs w:val="22"/>
              </w:rPr>
              <w:t>Resolution</w:t>
            </w:r>
            <w:r w:rsidRPr="00924F3F">
              <w:rPr>
                <w:bCs/>
                <w:sz w:val="22"/>
                <w:szCs w:val="22"/>
              </w:rPr>
              <w:t> 423</w:t>
            </w:r>
            <w:r w:rsidRPr="00924F3F">
              <w:rPr>
                <w:sz w:val="22"/>
                <w:szCs w:val="22"/>
              </w:rPr>
              <w:t> </w:t>
            </w:r>
            <w:r w:rsidRPr="00924F3F">
              <w:rPr>
                <w:bCs/>
                <w:sz w:val="22"/>
                <w:szCs w:val="22"/>
              </w:rPr>
              <w:t>(WRC</w:t>
            </w:r>
            <w:r w:rsidRPr="00924F3F">
              <w:rPr>
                <w:bCs/>
                <w:sz w:val="22"/>
                <w:szCs w:val="22"/>
              </w:rPr>
              <w:noBreakHyphen/>
              <w:t>12)</w:t>
            </w:r>
            <w:r w:rsidRPr="00924F3F">
              <w:rPr>
                <w:sz w:val="22"/>
                <w:szCs w:val="22"/>
              </w:rPr>
              <w:t>.</w:t>
            </w:r>
          </w:p>
        </w:tc>
        <w:tc>
          <w:tcPr>
            <w:tcW w:w="4677" w:type="dxa"/>
          </w:tcPr>
          <w:p w:rsidR="00D82060" w:rsidRPr="00924F3F" w:rsidRDefault="00D82060" w:rsidP="00EC7D65">
            <w:pPr>
              <w:rPr>
                <w:sz w:val="22"/>
                <w:szCs w:val="22"/>
              </w:rPr>
            </w:pPr>
            <w:r w:rsidRPr="00924F3F">
              <w:rPr>
                <w:sz w:val="22"/>
                <w:szCs w:val="22"/>
              </w:rPr>
              <w:t>WMO opposes to the use of the 2 700-2 900 MHz and 5 350-5 460 MHz frequency bands for WAIC based on the previous studies in the frequency band 5 600-5 650 MHz, which concluded that mobile applications on board aircraft are not compatible with meteorological radars.</w:t>
            </w:r>
            <w:r w:rsidR="00FD4D9D" w:rsidRPr="00924F3F">
              <w:rPr>
                <w:sz w:val="22"/>
                <w:szCs w:val="22"/>
              </w:rPr>
              <w:t xml:space="preserve"> </w:t>
            </w:r>
            <w:r w:rsidRPr="00924F3F">
              <w:rPr>
                <w:sz w:val="22"/>
                <w:szCs w:val="22"/>
              </w:rPr>
              <w:t xml:space="preserve">For other frequency bands considered for WAIC (e.g. the frequency band </w:t>
            </w:r>
            <w:r w:rsidRPr="00924F3F">
              <w:rPr>
                <w:bCs/>
                <w:sz w:val="22"/>
                <w:szCs w:val="22"/>
              </w:rPr>
              <w:t>13.25-13.4</w:t>
            </w:r>
            <w:r w:rsidRPr="00924F3F">
              <w:rPr>
                <w:sz w:val="22"/>
                <w:szCs w:val="22"/>
              </w:rPr>
              <w:t> </w:t>
            </w:r>
            <w:r w:rsidRPr="00924F3F">
              <w:rPr>
                <w:bCs/>
                <w:sz w:val="22"/>
                <w:szCs w:val="22"/>
              </w:rPr>
              <w:t>GHz or frequency bands above 15.</w:t>
            </w:r>
            <w:r w:rsidRPr="00924F3F">
              <w:rPr>
                <w:sz w:val="22"/>
                <w:szCs w:val="22"/>
              </w:rPr>
              <w:t>7 GHz</w:t>
            </w:r>
            <w:r w:rsidRPr="00924F3F">
              <w:rPr>
                <w:bCs/>
                <w:sz w:val="22"/>
                <w:szCs w:val="22"/>
              </w:rPr>
              <w:t>)</w:t>
            </w:r>
            <w:r w:rsidRPr="00924F3F">
              <w:rPr>
                <w:sz w:val="22"/>
                <w:szCs w:val="22"/>
              </w:rPr>
              <w:t>, compatibility with meteorological and Earth observation applications should be assessed and the adequate protection should be ensured.</w:t>
            </w:r>
          </w:p>
        </w:tc>
        <w:tc>
          <w:tcPr>
            <w:tcW w:w="5670" w:type="dxa"/>
          </w:tcPr>
          <w:p w:rsidR="00AC408D" w:rsidRDefault="00AC408D" w:rsidP="00AC408D">
            <w:pPr>
              <w:rPr>
                <w:b/>
                <w:sz w:val="22"/>
                <w:szCs w:val="22"/>
              </w:rPr>
            </w:pPr>
            <w:r>
              <w:rPr>
                <w:b/>
                <w:sz w:val="22"/>
                <w:szCs w:val="22"/>
              </w:rPr>
              <w:t>Status: PT-C (January 2014)</w:t>
            </w:r>
          </w:p>
          <w:p w:rsidR="00AC408D" w:rsidRPr="00AC408D" w:rsidRDefault="00AC408D" w:rsidP="00AC408D">
            <w:pPr>
              <w:pStyle w:val="ECCBulletsLv1"/>
              <w:numPr>
                <w:ilvl w:val="0"/>
                <w:numId w:val="0"/>
              </w:numPr>
              <w:rPr>
                <w:rFonts w:ascii="Times New Roman" w:eastAsia="Calibri" w:hAnsi="Times New Roman"/>
                <w:lang w:val="en-US"/>
              </w:rPr>
            </w:pPr>
            <w:r w:rsidRPr="00AC408D">
              <w:rPr>
                <w:rFonts w:ascii="Times New Roman" w:eastAsia="Calibri" w:hAnsi="Times New Roman"/>
                <w:lang w:val="en-US"/>
              </w:rPr>
              <w:t>CEPT supports a primary AM(R</w:t>
            </w:r>
            <w:proofErr w:type="gramStart"/>
            <w:r w:rsidRPr="00AC408D">
              <w:rPr>
                <w:rFonts w:ascii="Times New Roman" w:eastAsia="Calibri" w:hAnsi="Times New Roman"/>
                <w:lang w:val="en-US"/>
              </w:rPr>
              <w:t>)S</w:t>
            </w:r>
            <w:proofErr w:type="gramEnd"/>
            <w:r w:rsidRPr="00AC408D">
              <w:rPr>
                <w:rFonts w:ascii="Times New Roman" w:eastAsia="Calibri" w:hAnsi="Times New Roman"/>
                <w:lang w:val="en-US"/>
              </w:rPr>
              <w:t xml:space="preserve"> allocation in the 4 200 – 4 400 MHz band limited to WAIC to accommodate the required frequency spectrum of 145 </w:t>
            </w:r>
            <w:proofErr w:type="spellStart"/>
            <w:r w:rsidRPr="00AC408D">
              <w:rPr>
                <w:rFonts w:ascii="Times New Roman" w:eastAsia="Calibri" w:hAnsi="Times New Roman"/>
                <w:lang w:val="en-US"/>
              </w:rPr>
              <w:t>MHz.</w:t>
            </w:r>
            <w:proofErr w:type="spellEnd"/>
          </w:p>
          <w:p w:rsidR="00AC408D" w:rsidRPr="00AC408D" w:rsidRDefault="00AC408D" w:rsidP="00AC408D">
            <w:pPr>
              <w:rPr>
                <w:sz w:val="22"/>
                <w:szCs w:val="22"/>
              </w:rPr>
            </w:pPr>
            <w:r w:rsidRPr="00AC408D">
              <w:rPr>
                <w:sz w:val="22"/>
                <w:szCs w:val="22"/>
              </w:rPr>
              <w:t>CEPT supports further sharing and compatibility studies on other frequency bands if necessary.</w:t>
            </w:r>
          </w:p>
          <w:p w:rsidR="00D82060" w:rsidRPr="00924F3F" w:rsidRDefault="00D82060" w:rsidP="007566C2">
            <w:pPr>
              <w:rPr>
                <w:sz w:val="22"/>
                <w:szCs w:val="22"/>
              </w:rPr>
            </w:pPr>
          </w:p>
        </w:tc>
      </w:tr>
      <w:tr w:rsidR="00497EC7" w:rsidTr="00924F3F">
        <w:tc>
          <w:tcPr>
            <w:tcW w:w="817" w:type="dxa"/>
          </w:tcPr>
          <w:p w:rsidR="00497EC7" w:rsidRPr="00924F3F" w:rsidRDefault="00497EC7" w:rsidP="00924F3F">
            <w:pPr>
              <w:jc w:val="center"/>
              <w:rPr>
                <w:sz w:val="22"/>
                <w:szCs w:val="22"/>
              </w:rPr>
            </w:pPr>
            <w:r w:rsidRPr="00924F3F">
              <w:rPr>
                <w:sz w:val="22"/>
                <w:szCs w:val="22"/>
              </w:rPr>
              <w:t>9.1.1</w:t>
            </w:r>
          </w:p>
          <w:p w:rsidR="00497EC7" w:rsidRPr="00924F3F" w:rsidRDefault="00497EC7" w:rsidP="00924F3F">
            <w:pPr>
              <w:jc w:val="center"/>
              <w:rPr>
                <w:sz w:val="22"/>
                <w:szCs w:val="22"/>
              </w:rPr>
            </w:pPr>
          </w:p>
          <w:p w:rsidR="00497EC7" w:rsidRPr="00924F3F" w:rsidRDefault="00497EC7" w:rsidP="00924F3F">
            <w:pPr>
              <w:jc w:val="center"/>
              <w:rPr>
                <w:color w:val="000000"/>
                <w:sz w:val="22"/>
                <w:szCs w:val="22"/>
              </w:rPr>
            </w:pPr>
            <w:r w:rsidRPr="00924F3F">
              <w:rPr>
                <w:color w:val="000000"/>
                <w:sz w:val="22"/>
                <w:szCs w:val="22"/>
              </w:rPr>
              <w:t>WP4C</w:t>
            </w:r>
          </w:p>
        </w:tc>
        <w:tc>
          <w:tcPr>
            <w:tcW w:w="4253" w:type="dxa"/>
          </w:tcPr>
          <w:p w:rsidR="00497EC7" w:rsidRPr="00924F3F" w:rsidRDefault="00497EC7" w:rsidP="00924F3F">
            <w:pPr>
              <w:tabs>
                <w:tab w:val="num" w:pos="540"/>
              </w:tabs>
              <w:rPr>
                <w:bCs/>
                <w:sz w:val="22"/>
                <w:szCs w:val="22"/>
                <w:lang w:val="en-GB"/>
              </w:rPr>
            </w:pPr>
            <w:r w:rsidRPr="00924F3F">
              <w:rPr>
                <w:sz w:val="22"/>
                <w:szCs w:val="22"/>
                <w:lang w:val="en-GB"/>
              </w:rPr>
              <w:lastRenderedPageBreak/>
              <w:t xml:space="preserve">to consider and approve the Report of the Director of the Radiocommunication Bureau, </w:t>
            </w:r>
            <w:r w:rsidRPr="00924F3F">
              <w:rPr>
                <w:sz w:val="22"/>
                <w:szCs w:val="22"/>
                <w:lang w:val="en-GB"/>
              </w:rPr>
              <w:lastRenderedPageBreak/>
              <w:t>in accordance with Article 7 of the Convention</w:t>
            </w:r>
            <w:r w:rsidRPr="00924F3F">
              <w:rPr>
                <w:bCs/>
                <w:sz w:val="22"/>
                <w:szCs w:val="22"/>
                <w:lang w:val="en-GB"/>
              </w:rPr>
              <w:t>:</w:t>
            </w:r>
            <w:r w:rsidRPr="00924F3F">
              <w:rPr>
                <w:bCs/>
                <w:sz w:val="22"/>
                <w:szCs w:val="22"/>
                <w:lang w:val="en-GB"/>
              </w:rPr>
              <w:br/>
              <w:t>on the activities of the Radiocommunication Sector since WRC-12:</w:t>
            </w:r>
          </w:p>
          <w:p w:rsidR="00497EC7" w:rsidRPr="00924F3F" w:rsidRDefault="00497EC7" w:rsidP="007566C2">
            <w:pPr>
              <w:rPr>
                <w:bCs/>
                <w:sz w:val="22"/>
                <w:szCs w:val="22"/>
                <w:lang w:val="en-GB"/>
              </w:rPr>
            </w:pPr>
            <w:r w:rsidRPr="00924F3F">
              <w:rPr>
                <w:bCs/>
                <w:sz w:val="22"/>
                <w:szCs w:val="22"/>
                <w:lang w:val="en-GB"/>
              </w:rPr>
              <w:t xml:space="preserve">Protection of the systems operating in the </w:t>
            </w:r>
            <w:r w:rsidRPr="00924F3F">
              <w:rPr>
                <w:bCs/>
                <w:color w:val="000000"/>
                <w:sz w:val="22"/>
                <w:szCs w:val="22"/>
                <w:lang w:val="en-GB"/>
              </w:rPr>
              <w:t>mobile-satellite service</w:t>
            </w:r>
            <w:r w:rsidRPr="00924F3F">
              <w:rPr>
                <w:bCs/>
                <w:sz w:val="22"/>
                <w:szCs w:val="22"/>
                <w:lang w:val="en-GB"/>
              </w:rPr>
              <w:t xml:space="preserve"> in the band 406-406.1 MHz (Resolution </w:t>
            </w:r>
            <w:r w:rsidRPr="00924F3F">
              <w:rPr>
                <w:sz w:val="22"/>
                <w:szCs w:val="22"/>
                <w:lang w:val="en-GB"/>
              </w:rPr>
              <w:t>205 (Rev.WRC-12)</w:t>
            </w:r>
            <w:r w:rsidRPr="00924F3F">
              <w:rPr>
                <w:bCs/>
                <w:sz w:val="22"/>
                <w:szCs w:val="22"/>
                <w:lang w:val="en-GB"/>
              </w:rPr>
              <w:t>).</w:t>
            </w:r>
          </w:p>
        </w:tc>
        <w:tc>
          <w:tcPr>
            <w:tcW w:w="4677" w:type="dxa"/>
          </w:tcPr>
          <w:p w:rsidR="00497EC7" w:rsidRPr="00924F3F" w:rsidRDefault="00497EC7" w:rsidP="007566C2">
            <w:pPr>
              <w:rPr>
                <w:sz w:val="22"/>
                <w:szCs w:val="22"/>
              </w:rPr>
            </w:pPr>
            <w:r w:rsidRPr="00924F3F">
              <w:rPr>
                <w:sz w:val="22"/>
                <w:szCs w:val="22"/>
              </w:rPr>
              <w:lastRenderedPageBreak/>
              <w:t xml:space="preserve">WMO supports studies and regulatory measures towards ensuring the adequate protection to </w:t>
            </w:r>
            <w:r w:rsidRPr="00924F3F">
              <w:rPr>
                <w:sz w:val="22"/>
                <w:szCs w:val="22"/>
              </w:rPr>
              <w:lastRenderedPageBreak/>
              <w:t>Cospas-Sarsat receivers against emissions from adjacent bands, noting that, to a large extent, those receivers are implemented on meteorological satellites.</w:t>
            </w:r>
          </w:p>
          <w:p w:rsidR="00497EC7" w:rsidRPr="00924F3F" w:rsidRDefault="00497EC7" w:rsidP="007566C2">
            <w:pPr>
              <w:rPr>
                <w:sz w:val="22"/>
                <w:szCs w:val="22"/>
              </w:rPr>
            </w:pPr>
          </w:p>
        </w:tc>
        <w:tc>
          <w:tcPr>
            <w:tcW w:w="5670" w:type="dxa"/>
          </w:tcPr>
          <w:p w:rsidR="00497EC7" w:rsidRDefault="00497EC7" w:rsidP="00127822">
            <w:pPr>
              <w:rPr>
                <w:b/>
                <w:sz w:val="22"/>
                <w:szCs w:val="22"/>
              </w:rPr>
            </w:pPr>
            <w:r>
              <w:rPr>
                <w:b/>
                <w:sz w:val="22"/>
                <w:szCs w:val="22"/>
              </w:rPr>
              <w:lastRenderedPageBreak/>
              <w:t>Status: PT-B (March 2014)</w:t>
            </w:r>
          </w:p>
          <w:p w:rsidR="00497EC7" w:rsidRPr="00924F3F" w:rsidRDefault="00BC0BDC" w:rsidP="00127822">
            <w:pPr>
              <w:rPr>
                <w:sz w:val="22"/>
                <w:szCs w:val="22"/>
              </w:rPr>
            </w:pPr>
            <w:r w:rsidRPr="00BC0BDC">
              <w:rPr>
                <w:sz w:val="22"/>
                <w:szCs w:val="22"/>
                <w:lang w:val="en-GB"/>
              </w:rPr>
              <w:lastRenderedPageBreak/>
              <w:t xml:space="preserve">In order to </w:t>
            </w:r>
            <w:r w:rsidRPr="00BC0BDC">
              <w:rPr>
                <w:sz w:val="22"/>
                <w:szCs w:val="22"/>
                <w:lang w:val="en-AU"/>
              </w:rPr>
              <w:t>ensure adequate protection of MSS systems in the frequency band 406-406.1, CEPT supports a revision of Resolution 205 (rev WRC2012) containing mitigation measures. However, it should also be ensured that existing stations/systems duly authorized in adjacent frequency bands will not experience undue constraints.</w:t>
            </w:r>
          </w:p>
        </w:tc>
      </w:tr>
      <w:tr w:rsidR="00497EC7" w:rsidTr="00924F3F">
        <w:tc>
          <w:tcPr>
            <w:tcW w:w="817" w:type="dxa"/>
          </w:tcPr>
          <w:p w:rsidR="00497EC7" w:rsidRPr="00924F3F" w:rsidRDefault="00497EC7" w:rsidP="00924F3F">
            <w:pPr>
              <w:jc w:val="center"/>
              <w:rPr>
                <w:sz w:val="22"/>
                <w:szCs w:val="22"/>
              </w:rPr>
            </w:pPr>
            <w:r w:rsidRPr="00924F3F">
              <w:rPr>
                <w:sz w:val="22"/>
                <w:szCs w:val="22"/>
              </w:rPr>
              <w:lastRenderedPageBreak/>
              <w:t>9.1.5</w:t>
            </w:r>
          </w:p>
          <w:p w:rsidR="00497EC7" w:rsidRPr="00924F3F" w:rsidRDefault="00497EC7" w:rsidP="00924F3F">
            <w:pPr>
              <w:jc w:val="center"/>
              <w:rPr>
                <w:sz w:val="22"/>
                <w:szCs w:val="22"/>
              </w:rPr>
            </w:pPr>
          </w:p>
          <w:p w:rsidR="00497EC7" w:rsidRPr="00924F3F" w:rsidRDefault="00497EC7" w:rsidP="00924F3F">
            <w:pPr>
              <w:jc w:val="center"/>
              <w:rPr>
                <w:color w:val="000000"/>
                <w:sz w:val="22"/>
                <w:szCs w:val="22"/>
              </w:rPr>
            </w:pPr>
            <w:r w:rsidRPr="00924F3F">
              <w:rPr>
                <w:color w:val="000000"/>
                <w:sz w:val="22"/>
                <w:szCs w:val="22"/>
              </w:rPr>
              <w:t>WP4A</w:t>
            </w:r>
          </w:p>
        </w:tc>
        <w:tc>
          <w:tcPr>
            <w:tcW w:w="4253" w:type="dxa"/>
          </w:tcPr>
          <w:p w:rsidR="00497EC7" w:rsidRPr="00924F3F" w:rsidRDefault="00497EC7" w:rsidP="007566C2">
            <w:pPr>
              <w:rPr>
                <w:sz w:val="22"/>
                <w:szCs w:val="22"/>
              </w:rPr>
            </w:pPr>
            <w:r w:rsidRPr="00924F3F">
              <w:rPr>
                <w:sz w:val="22"/>
                <w:szCs w:val="22"/>
              </w:rPr>
              <w:t>consider and approve the Report of the Director on the ITU-R activities on technical and regulatory actions in order to support existing and future operation of fixed</w:t>
            </w:r>
            <w:r w:rsidRPr="00924F3F">
              <w:rPr>
                <w:sz w:val="22"/>
                <w:szCs w:val="22"/>
              </w:rPr>
              <w:noBreakHyphen/>
              <w:t>satellite service earth stations within the band 3 400-4 200 MHz, as an aid to the safe operation of aircraft and reliable distribution of meteorological information in some countries in Region 1</w:t>
            </w:r>
            <w:r w:rsidRPr="00924F3F">
              <w:rPr>
                <w:b/>
                <w:bCs/>
                <w:sz w:val="22"/>
                <w:szCs w:val="22"/>
              </w:rPr>
              <w:t>.</w:t>
            </w:r>
          </w:p>
        </w:tc>
        <w:tc>
          <w:tcPr>
            <w:tcW w:w="4677" w:type="dxa"/>
          </w:tcPr>
          <w:p w:rsidR="00497EC7" w:rsidRPr="00924F3F" w:rsidRDefault="00497EC7" w:rsidP="007566C2">
            <w:pPr>
              <w:rPr>
                <w:sz w:val="22"/>
                <w:szCs w:val="22"/>
              </w:rPr>
            </w:pPr>
            <w:r w:rsidRPr="00924F3F">
              <w:rPr>
                <w:sz w:val="22"/>
                <w:szCs w:val="22"/>
              </w:rPr>
              <w:t>WMO supports technical and regulatory actions to protect the FSS operations in the band 3 400-4 200 MHz for the dissemination of meteorological data in Region 1.</w:t>
            </w:r>
          </w:p>
          <w:p w:rsidR="00497EC7" w:rsidRPr="00924F3F" w:rsidRDefault="00497EC7" w:rsidP="007566C2">
            <w:pPr>
              <w:rPr>
                <w:b/>
                <w:sz w:val="22"/>
                <w:szCs w:val="22"/>
                <w:lang w:val="en-GB"/>
              </w:rPr>
            </w:pPr>
            <w:r w:rsidRPr="00924F3F">
              <w:rPr>
                <w:sz w:val="22"/>
                <w:szCs w:val="22"/>
                <w:lang w:val="en-GB"/>
              </w:rPr>
              <w:t>In addition, WMO states its requirement to maintain relevant fixed satellite service capacity and availability in the 3 400-4 200 MHz frequency band.</w:t>
            </w:r>
          </w:p>
        </w:tc>
        <w:tc>
          <w:tcPr>
            <w:tcW w:w="5670" w:type="dxa"/>
          </w:tcPr>
          <w:p w:rsidR="00497EC7" w:rsidRDefault="00497EC7" w:rsidP="00127822">
            <w:pPr>
              <w:rPr>
                <w:b/>
                <w:sz w:val="22"/>
                <w:szCs w:val="22"/>
              </w:rPr>
            </w:pPr>
            <w:r>
              <w:rPr>
                <w:b/>
                <w:sz w:val="22"/>
                <w:szCs w:val="22"/>
              </w:rPr>
              <w:t>Status: PT-B (March 2014)</w:t>
            </w:r>
          </w:p>
          <w:p w:rsidR="00BC0BDC" w:rsidRPr="00BC0BDC" w:rsidRDefault="00BC0BDC" w:rsidP="00BC0BDC">
            <w:pPr>
              <w:rPr>
                <w:sz w:val="22"/>
                <w:szCs w:val="22"/>
              </w:rPr>
            </w:pPr>
            <w:r w:rsidRPr="00BC0BDC">
              <w:rPr>
                <w:sz w:val="22"/>
                <w:szCs w:val="22"/>
              </w:rPr>
              <w:t xml:space="preserve">CEPT supports the modification of Resolution 154 (WRC-12) to urge relevant administrations in Region 1 to use special care in the coordination, assignment, and management of frequencies taking into consideration the potential impact on FSS earth stations used for satellite communications related to safe operation of aircraft and reliable distribution of meteorological information in the band 3 400-4 200 </w:t>
            </w:r>
            <w:proofErr w:type="spellStart"/>
            <w:r w:rsidRPr="00BC0BDC">
              <w:rPr>
                <w:sz w:val="22"/>
                <w:szCs w:val="22"/>
              </w:rPr>
              <w:t>MHz.</w:t>
            </w:r>
            <w:proofErr w:type="spellEnd"/>
            <w:r w:rsidRPr="00BC0BDC">
              <w:rPr>
                <w:sz w:val="22"/>
                <w:szCs w:val="22"/>
              </w:rPr>
              <w:t xml:space="preserve"> </w:t>
            </w:r>
          </w:p>
          <w:p w:rsidR="00497EC7" w:rsidRDefault="00BC0BDC" w:rsidP="00BC0BDC">
            <w:pPr>
              <w:rPr>
                <w:sz w:val="22"/>
                <w:szCs w:val="22"/>
              </w:rPr>
            </w:pPr>
            <w:r w:rsidRPr="00BC0BDC">
              <w:rPr>
                <w:sz w:val="22"/>
                <w:szCs w:val="22"/>
              </w:rPr>
              <w:t xml:space="preserve">CEPT supports a combination of possible modifications to Resolution 154 (WRC-12) that would aim at urging relevant administrations of Region 1 to coordinate, with their neighboring countries, and notify their receiving earth stations, to use relevant ITU-R methodologies to ensure compliance with RR No. 5.430A, to take into account the needs of existing and planned FSS earth stations used for safe operation of aircraft and reliable distribution of meteorological information in national planning and to employ any appropriate mitigation techniques. </w:t>
            </w:r>
          </w:p>
          <w:p w:rsidR="00BC0BDC" w:rsidRPr="00924F3F" w:rsidRDefault="00BC0BDC" w:rsidP="00BC0BDC">
            <w:pPr>
              <w:rPr>
                <w:sz w:val="22"/>
                <w:szCs w:val="22"/>
              </w:rPr>
            </w:pPr>
          </w:p>
        </w:tc>
      </w:tr>
    </w:tbl>
    <w:p w:rsidR="00D82060" w:rsidRDefault="00D82060" w:rsidP="003A6054"/>
    <w:sectPr w:rsidR="00D82060" w:rsidSect="00872DBF">
      <w:footnotePr>
        <w:numFmt w:val="chicago"/>
      </w:footnotePr>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50" w:rsidRDefault="00D72550" w:rsidP="007A73F8">
      <w:pPr>
        <w:spacing w:before="0" w:after="0"/>
      </w:pPr>
      <w:r>
        <w:separator/>
      </w:r>
    </w:p>
  </w:endnote>
  <w:endnote w:type="continuationSeparator" w:id="0">
    <w:p w:rsidR="00D72550" w:rsidRDefault="00D72550"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71" w:rsidRDefault="00750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71" w:rsidRDefault="00750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71" w:rsidRDefault="00750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50" w:rsidRDefault="00D72550" w:rsidP="007A73F8">
      <w:pPr>
        <w:spacing w:before="0" w:after="0"/>
      </w:pPr>
      <w:r>
        <w:separator/>
      </w:r>
    </w:p>
  </w:footnote>
  <w:footnote w:type="continuationSeparator" w:id="0">
    <w:p w:rsidR="00D72550" w:rsidRDefault="00D72550" w:rsidP="007A73F8">
      <w:pPr>
        <w:spacing w:before="0" w:after="0"/>
      </w:pPr>
      <w:r>
        <w:continuationSeparator/>
      </w:r>
    </w:p>
  </w:footnote>
  <w:footnote w:id="1">
    <w:p w:rsidR="00D72550" w:rsidRDefault="00D72550">
      <w:pPr>
        <w:pStyle w:val="FootnoteText"/>
      </w:pPr>
      <w:r>
        <w:rPr>
          <w:rStyle w:val="FootnoteReference"/>
        </w:rPr>
        <w:t>*</w:t>
      </w:r>
      <w:r>
        <w:t xml:space="preserve"> If restricted access is selected the WMO Document will only be accessible to the WMO WIKI registered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71" w:rsidRDefault="00750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50" w:rsidRPr="009C443D" w:rsidRDefault="00D72550" w:rsidP="009C443D">
    <w:pPr>
      <w:pStyle w:val="Header"/>
      <w:spacing w:beforeAutospacing="0" w:afterAutospacing="0"/>
      <w:jc w:val="center"/>
      <w:rPr>
        <w:rStyle w:val="PageNumber"/>
        <w:sz w:val="18"/>
        <w:szCs w:val="18"/>
      </w:rPr>
    </w:pPr>
    <w:r w:rsidRPr="009C443D">
      <w:rPr>
        <w:sz w:val="18"/>
        <w:szCs w:val="18"/>
      </w:rPr>
      <w:t xml:space="preserve">- </w:t>
    </w:r>
    <w:r w:rsidRPr="009C443D">
      <w:rPr>
        <w:rStyle w:val="PageNumber"/>
        <w:sz w:val="18"/>
        <w:szCs w:val="18"/>
      </w:rPr>
      <w:fldChar w:fldCharType="begin"/>
    </w:r>
    <w:r w:rsidRPr="009C443D">
      <w:rPr>
        <w:rStyle w:val="PageNumber"/>
        <w:sz w:val="18"/>
        <w:szCs w:val="18"/>
      </w:rPr>
      <w:instrText xml:space="preserve"> PAGE </w:instrText>
    </w:r>
    <w:r w:rsidRPr="009C443D">
      <w:rPr>
        <w:rStyle w:val="PageNumber"/>
        <w:sz w:val="18"/>
        <w:szCs w:val="18"/>
      </w:rPr>
      <w:fldChar w:fldCharType="separate"/>
    </w:r>
    <w:r w:rsidR="00750671">
      <w:rPr>
        <w:rStyle w:val="PageNumber"/>
        <w:noProof/>
        <w:sz w:val="18"/>
        <w:szCs w:val="18"/>
      </w:rPr>
      <w:t>3</w:t>
    </w:r>
    <w:r w:rsidRPr="009C443D">
      <w:rPr>
        <w:rStyle w:val="PageNumber"/>
        <w:sz w:val="18"/>
        <w:szCs w:val="18"/>
      </w:rPr>
      <w:fldChar w:fldCharType="end"/>
    </w:r>
    <w:r w:rsidRPr="009C443D">
      <w:rPr>
        <w:rStyle w:val="PageNumber"/>
        <w:sz w:val="18"/>
        <w:szCs w:val="18"/>
      </w:rPr>
      <w:t xml:space="preserve"> -</w:t>
    </w:r>
  </w:p>
  <w:p w:rsidR="00D72550" w:rsidRDefault="00D72550" w:rsidP="009C443D">
    <w:pPr>
      <w:pStyle w:val="Header"/>
      <w:spacing w:beforeAutospacing="0" w:afterAutospacing="0"/>
      <w:jc w:val="center"/>
      <w:rPr>
        <w:sz w:val="18"/>
        <w:szCs w:val="18"/>
      </w:rPr>
    </w:pPr>
    <w:r>
      <w:rPr>
        <w:sz w:val="18"/>
        <w:szCs w:val="18"/>
      </w:rPr>
      <w:t>SG-RFC/2014-1-</w:t>
    </w:r>
    <w:r w:rsidR="00750671">
      <w:rPr>
        <w:sz w:val="18"/>
        <w:szCs w:val="18"/>
        <w:lang w:val="fr-CH"/>
      </w:rPr>
      <w:t>16</w:t>
    </w:r>
    <w:r>
      <w:rPr>
        <w:sz w:val="18"/>
        <w:szCs w:val="18"/>
      </w:rPr>
      <w:t>..</w:t>
    </w:r>
    <w:r w:rsidRPr="009C443D">
      <w:rPr>
        <w:sz w:val="18"/>
        <w:szCs w:val="18"/>
      </w:rPr>
      <w:t>-E</w:t>
    </w:r>
  </w:p>
  <w:p w:rsidR="00D72550" w:rsidRPr="009C443D" w:rsidRDefault="00D72550" w:rsidP="009C443D">
    <w:pPr>
      <w:pStyle w:val="Header"/>
      <w:spacing w:beforeAutospacing="0" w:afterAutospacing="0"/>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71" w:rsidRDefault="00750671">
    <w:pPr>
      <w:pStyle w:val="Header"/>
    </w:pPr>
    <w:bookmarkStart w:id="6" w:name="_GoBack"/>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E7D8A"/>
    <w:multiLevelType w:val="hybridMultilevel"/>
    <w:tmpl w:val="37D93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70979"/>
    <w:multiLevelType w:val="hybridMultilevel"/>
    <w:tmpl w:val="39CE0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B51A74"/>
    <w:multiLevelType w:val="hybridMultilevel"/>
    <w:tmpl w:val="079A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96153"/>
    <w:multiLevelType w:val="multilevel"/>
    <w:tmpl w:val="FCEC7FBC"/>
    <w:numStyleLink w:val="ECCBullets"/>
  </w:abstractNum>
  <w:abstractNum w:abstractNumId="4">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nsid w:val="20A87A02"/>
    <w:multiLevelType w:val="hybridMultilevel"/>
    <w:tmpl w:val="F3C8E714"/>
    <w:lvl w:ilvl="0" w:tplc="7AEC2072">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6">
    <w:nsid w:val="3CC06347"/>
    <w:multiLevelType w:val="multilevel"/>
    <w:tmpl w:val="FCEC7FBC"/>
    <w:numStyleLink w:val="ECCBullets"/>
  </w:abstractNum>
  <w:abstractNum w:abstractNumId="7">
    <w:nsid w:val="445A04B7"/>
    <w:multiLevelType w:val="hybridMultilevel"/>
    <w:tmpl w:val="3AFE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4D0B65"/>
    <w:multiLevelType w:val="multilevel"/>
    <w:tmpl w:val="FCEC7FBC"/>
    <w:numStyleLink w:val="ECCBullets"/>
  </w:abstractNum>
  <w:abstractNum w:abstractNumId="9">
    <w:nsid w:val="5770231F"/>
    <w:multiLevelType w:val="hybridMultilevel"/>
    <w:tmpl w:val="C052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08304D"/>
    <w:multiLevelType w:val="hybridMultilevel"/>
    <w:tmpl w:val="91EC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8"/>
  </w:num>
  <w:num w:numId="7">
    <w:abstractNumId w:val="2"/>
  </w:num>
  <w:num w:numId="8">
    <w:abstractNumId w:val="7"/>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309C2"/>
    <w:rsid w:val="000309FF"/>
    <w:rsid w:val="0004008D"/>
    <w:rsid w:val="00042B2B"/>
    <w:rsid w:val="000518BF"/>
    <w:rsid w:val="000757E9"/>
    <w:rsid w:val="00082939"/>
    <w:rsid w:val="000979EA"/>
    <w:rsid w:val="000A42FF"/>
    <w:rsid w:val="000A504D"/>
    <w:rsid w:val="000E608D"/>
    <w:rsid w:val="00102305"/>
    <w:rsid w:val="00107650"/>
    <w:rsid w:val="00113766"/>
    <w:rsid w:val="00127822"/>
    <w:rsid w:val="0014262E"/>
    <w:rsid w:val="00144843"/>
    <w:rsid w:val="0016350F"/>
    <w:rsid w:val="00167708"/>
    <w:rsid w:val="00181EBA"/>
    <w:rsid w:val="00185160"/>
    <w:rsid w:val="0018521E"/>
    <w:rsid w:val="001A13D6"/>
    <w:rsid w:val="001B10D7"/>
    <w:rsid w:val="001B2071"/>
    <w:rsid w:val="001B25A7"/>
    <w:rsid w:val="001E2C33"/>
    <w:rsid w:val="0020657D"/>
    <w:rsid w:val="00223B48"/>
    <w:rsid w:val="0027433C"/>
    <w:rsid w:val="00277FCC"/>
    <w:rsid w:val="002A46EC"/>
    <w:rsid w:val="002A6E93"/>
    <w:rsid w:val="002E18C0"/>
    <w:rsid w:val="00304706"/>
    <w:rsid w:val="00344376"/>
    <w:rsid w:val="00347E8E"/>
    <w:rsid w:val="0036338C"/>
    <w:rsid w:val="003A6054"/>
    <w:rsid w:val="003D38B9"/>
    <w:rsid w:val="003F08D3"/>
    <w:rsid w:val="00412162"/>
    <w:rsid w:val="00422D26"/>
    <w:rsid w:val="0043053C"/>
    <w:rsid w:val="0044117D"/>
    <w:rsid w:val="00441F05"/>
    <w:rsid w:val="00466E06"/>
    <w:rsid w:val="00477E34"/>
    <w:rsid w:val="00497EC7"/>
    <w:rsid w:val="004A39AA"/>
    <w:rsid w:val="004E7941"/>
    <w:rsid w:val="004F0476"/>
    <w:rsid w:val="00510362"/>
    <w:rsid w:val="005B5FEE"/>
    <w:rsid w:val="005D6572"/>
    <w:rsid w:val="00604C1A"/>
    <w:rsid w:val="00613500"/>
    <w:rsid w:val="006237F8"/>
    <w:rsid w:val="006546D0"/>
    <w:rsid w:val="0065683A"/>
    <w:rsid w:val="00682FE9"/>
    <w:rsid w:val="00683FE2"/>
    <w:rsid w:val="00695EB8"/>
    <w:rsid w:val="006A4FF3"/>
    <w:rsid w:val="006B4441"/>
    <w:rsid w:val="006F650D"/>
    <w:rsid w:val="00701FDB"/>
    <w:rsid w:val="00713E61"/>
    <w:rsid w:val="00716EFA"/>
    <w:rsid w:val="00750671"/>
    <w:rsid w:val="007566C2"/>
    <w:rsid w:val="00767181"/>
    <w:rsid w:val="00776EFE"/>
    <w:rsid w:val="007777CB"/>
    <w:rsid w:val="00781BC4"/>
    <w:rsid w:val="00790387"/>
    <w:rsid w:val="007A73F8"/>
    <w:rsid w:val="007A7EA5"/>
    <w:rsid w:val="007E395D"/>
    <w:rsid w:val="007F3F87"/>
    <w:rsid w:val="007F6686"/>
    <w:rsid w:val="008075D2"/>
    <w:rsid w:val="00812884"/>
    <w:rsid w:val="00820C6F"/>
    <w:rsid w:val="008276D1"/>
    <w:rsid w:val="00832FA4"/>
    <w:rsid w:val="0084266A"/>
    <w:rsid w:val="00852F63"/>
    <w:rsid w:val="008674B1"/>
    <w:rsid w:val="00872AB2"/>
    <w:rsid w:val="00872DBF"/>
    <w:rsid w:val="00876393"/>
    <w:rsid w:val="00891B49"/>
    <w:rsid w:val="008D24C5"/>
    <w:rsid w:val="00924F3F"/>
    <w:rsid w:val="0093198A"/>
    <w:rsid w:val="0097015B"/>
    <w:rsid w:val="00991D0C"/>
    <w:rsid w:val="009C443D"/>
    <w:rsid w:val="00A16C11"/>
    <w:rsid w:val="00A30EDB"/>
    <w:rsid w:val="00A409CB"/>
    <w:rsid w:val="00A530FD"/>
    <w:rsid w:val="00A80B44"/>
    <w:rsid w:val="00A90A0C"/>
    <w:rsid w:val="00AA5121"/>
    <w:rsid w:val="00AC408D"/>
    <w:rsid w:val="00B13392"/>
    <w:rsid w:val="00B1445B"/>
    <w:rsid w:val="00B1454C"/>
    <w:rsid w:val="00B16073"/>
    <w:rsid w:val="00B16AE0"/>
    <w:rsid w:val="00B33A0B"/>
    <w:rsid w:val="00B35CA8"/>
    <w:rsid w:val="00B65F89"/>
    <w:rsid w:val="00B72FC8"/>
    <w:rsid w:val="00B85962"/>
    <w:rsid w:val="00BB2405"/>
    <w:rsid w:val="00BB65DE"/>
    <w:rsid w:val="00BC0BDC"/>
    <w:rsid w:val="00BC3021"/>
    <w:rsid w:val="00BE37FE"/>
    <w:rsid w:val="00C33900"/>
    <w:rsid w:val="00C34014"/>
    <w:rsid w:val="00C66F97"/>
    <w:rsid w:val="00CA07A6"/>
    <w:rsid w:val="00CA0ED3"/>
    <w:rsid w:val="00CC0BD7"/>
    <w:rsid w:val="00CC27FD"/>
    <w:rsid w:val="00CE2A96"/>
    <w:rsid w:val="00D01EB3"/>
    <w:rsid w:val="00D027EB"/>
    <w:rsid w:val="00D72550"/>
    <w:rsid w:val="00D82060"/>
    <w:rsid w:val="00DC1CA7"/>
    <w:rsid w:val="00DC310B"/>
    <w:rsid w:val="00E30F56"/>
    <w:rsid w:val="00E33512"/>
    <w:rsid w:val="00E6563A"/>
    <w:rsid w:val="00E70B8B"/>
    <w:rsid w:val="00E8009A"/>
    <w:rsid w:val="00E92007"/>
    <w:rsid w:val="00E92931"/>
    <w:rsid w:val="00EA7371"/>
    <w:rsid w:val="00EC7D65"/>
    <w:rsid w:val="00EE4A74"/>
    <w:rsid w:val="00F12FBE"/>
    <w:rsid w:val="00F30103"/>
    <w:rsid w:val="00F701F9"/>
    <w:rsid w:val="00F704A4"/>
    <w:rsid w:val="00F737DB"/>
    <w:rsid w:val="00FB7F60"/>
    <w:rsid w:val="00FC7EB3"/>
    <w:rsid w:val="00FD4D9D"/>
    <w:rsid w:val="00FD7ED5"/>
    <w:rsid w:val="00FE0656"/>
    <w:rsid w:val="00FE3FBC"/>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rPr>
      <w:lang w:val="x-none" w:eastAsia="x-none"/>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rPr>
      <w:lang w:val="x-none" w:eastAsia="x-none"/>
    </w:r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rFonts w:ascii="Calibri" w:hAnsi="Calibri"/>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Calibri" w:hAnsi="Calibri"/>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numbering" w:customStyle="1" w:styleId="ECCBullets">
    <w:name w:val="ECC Bullets"/>
    <w:basedOn w:val="NoList"/>
    <w:rsid w:val="00BE37FE"/>
    <w:pPr>
      <w:numPr>
        <w:numId w:val="3"/>
      </w:numPr>
    </w:pPr>
  </w:style>
  <w:style w:type="paragraph" w:customStyle="1" w:styleId="ECCParagraph">
    <w:name w:val="ECC Paragraph"/>
    <w:basedOn w:val="Normal"/>
    <w:rsid w:val="00B72FC8"/>
    <w:pPr>
      <w:spacing w:before="0" w:beforeAutospacing="0" w:after="240" w:afterAutospacing="0"/>
      <w:jc w:val="both"/>
    </w:pPr>
    <w:rPr>
      <w:rFonts w:ascii="Arial" w:eastAsia="Times New Roman" w:hAnsi="Arial"/>
      <w:sz w:val="22"/>
      <w:szCs w:val="22"/>
      <w:lang w:val="en-GB"/>
    </w:rPr>
  </w:style>
  <w:style w:type="paragraph" w:customStyle="1" w:styleId="ECCBulletsLv1">
    <w:name w:val="ECC Bullets Lv1"/>
    <w:basedOn w:val="Normal"/>
    <w:rsid w:val="00AC408D"/>
    <w:pPr>
      <w:numPr>
        <w:numId w:val="9"/>
      </w:numPr>
      <w:spacing w:before="0" w:beforeAutospacing="0" w:after="0" w:afterAutospacing="0"/>
      <w:jc w:val="both"/>
    </w:pPr>
    <w:rPr>
      <w:rFonts w:ascii="Arial" w:eastAsia="Times New Roman" w:hAnsi="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rPr>
      <w:lang w:val="x-none" w:eastAsia="x-none"/>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rPr>
      <w:lang w:val="x-none" w:eastAsia="x-none"/>
    </w:r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rFonts w:ascii="Calibri" w:hAnsi="Calibri"/>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Calibri" w:hAnsi="Calibri"/>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numbering" w:customStyle="1" w:styleId="ECCBullets">
    <w:name w:val="ECC Bullets"/>
    <w:basedOn w:val="NoList"/>
    <w:rsid w:val="00BE37FE"/>
    <w:pPr>
      <w:numPr>
        <w:numId w:val="3"/>
      </w:numPr>
    </w:pPr>
  </w:style>
  <w:style w:type="paragraph" w:customStyle="1" w:styleId="ECCParagraph">
    <w:name w:val="ECC Paragraph"/>
    <w:basedOn w:val="Normal"/>
    <w:rsid w:val="00B72FC8"/>
    <w:pPr>
      <w:spacing w:before="0" w:beforeAutospacing="0" w:after="240" w:afterAutospacing="0"/>
      <w:jc w:val="both"/>
    </w:pPr>
    <w:rPr>
      <w:rFonts w:ascii="Arial" w:eastAsia="Times New Roman" w:hAnsi="Arial"/>
      <w:sz w:val="22"/>
      <w:szCs w:val="22"/>
      <w:lang w:val="en-GB"/>
    </w:rPr>
  </w:style>
  <w:style w:type="paragraph" w:customStyle="1" w:styleId="ECCBulletsLv1">
    <w:name w:val="ECC Bullets Lv1"/>
    <w:basedOn w:val="Normal"/>
    <w:rsid w:val="00AC408D"/>
    <w:pPr>
      <w:numPr>
        <w:numId w:val="9"/>
      </w:numPr>
      <w:spacing w:before="0" w:beforeAutospacing="0" w:after="0" w:afterAutospacing="0"/>
      <w:jc w:val="both"/>
    </w:pPr>
    <w:rPr>
      <w:rFonts w:ascii="Arial" w:eastAsia="Times New Roman"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00604-7B72-47AF-82EF-C8A0B2284964}">
  <ds:schemaRefs>
    <ds:schemaRef ds:uri="http://schemas.openxmlformats.org/officeDocument/2006/bibliography"/>
  </ds:schemaRefs>
</ds:datastoreItem>
</file>

<file path=customXml/itemProps2.xml><?xml version="1.0" encoding="utf-8"?>
<ds:datastoreItem xmlns:ds="http://schemas.openxmlformats.org/officeDocument/2006/customXml" ds:itemID="{8FDE79E0-569A-41F3-93D4-BB8E3E4B65F2}"/>
</file>

<file path=customXml/itemProps3.xml><?xml version="1.0" encoding="utf-8"?>
<ds:datastoreItem xmlns:ds="http://schemas.openxmlformats.org/officeDocument/2006/customXml" ds:itemID="{3455B54D-3DF0-421A-BE6E-3CCD4A6A6BFE}"/>
</file>

<file path=customXml/itemProps4.xml><?xml version="1.0" encoding="utf-8"?>
<ds:datastoreItem xmlns:ds="http://schemas.openxmlformats.org/officeDocument/2006/customXml" ds:itemID="{6F9827EE-1263-4FD1-8648-667CC14F254B}"/>
</file>

<file path=docProps/app.xml><?xml version="1.0" encoding="utf-8"?>
<Properties xmlns="http://schemas.openxmlformats.org/officeDocument/2006/extended-properties" xmlns:vt="http://schemas.openxmlformats.org/officeDocument/2006/docPropsVTypes">
  <Template>B336F3D4.dotm</Template>
  <TotalTime>2</TotalTime>
  <Pages>8</Pages>
  <Words>2411</Words>
  <Characters>13600</Characters>
  <Application>Microsoft Office Word</Application>
  <DocSecurity>0</DocSecurity>
  <Lines>222</Lines>
  <Paragraphs>20</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CEPT Views on WRC-15 Agenda Items of WMO Interest</dc:subject>
  <dc:creator>Markus Dreis</dc:creator>
  <cp:lastModifiedBy>David Thomas</cp:lastModifiedBy>
  <cp:revision>2</cp:revision>
  <cp:lastPrinted>2012-10-22T16:15:00Z</cp:lastPrinted>
  <dcterms:created xsi:type="dcterms:W3CDTF">2014-03-06T09:20:00Z</dcterms:created>
  <dcterms:modified xsi:type="dcterms:W3CDTF">2014-03-06T09:20:00Z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