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margin" w:tblpY="-283"/>
        <w:tblW w:w="10031" w:type="dxa"/>
        <w:tblLayout w:type="fixed"/>
        <w:tblLook w:val="0000" w:firstRow="0" w:lastRow="0" w:firstColumn="0" w:lastColumn="0" w:noHBand="0" w:noVBand="0"/>
      </w:tblPr>
      <w:tblGrid>
        <w:gridCol w:w="4548"/>
        <w:gridCol w:w="1680"/>
        <w:gridCol w:w="2880"/>
        <w:gridCol w:w="480"/>
        <w:gridCol w:w="443"/>
      </w:tblGrid>
      <w:tr w:rsidR="00701FDB" w:rsidRPr="00812884">
        <w:trPr>
          <w:cantSplit/>
          <w:trHeight w:val="1438"/>
        </w:trPr>
        <w:tc>
          <w:tcPr>
            <w:tcW w:w="4548" w:type="dxa"/>
            <w:vAlign w:val="center"/>
          </w:tcPr>
          <w:p w:rsidR="00701FDB" w:rsidRPr="00FF7038" w:rsidRDefault="00701FDB" w:rsidP="00E92931">
            <w:pPr>
              <w:shd w:val="clear" w:color="auto" w:fill="FFFFFF"/>
              <w:spacing w:after="180" w:afterAutospacing="0"/>
              <w:jc w:val="center"/>
              <w:outlineLvl w:val="1"/>
              <w:rPr>
                <w:rFonts w:ascii="Helvetica" w:hAnsi="Helvetica" w:cs="Helvetica"/>
                <w:b/>
                <w:bCs/>
                <w:sz w:val="28"/>
                <w:szCs w:val="28"/>
              </w:rPr>
            </w:pPr>
            <w:r w:rsidRPr="00FF7038">
              <w:rPr>
                <w:rFonts w:ascii="Helvetica" w:hAnsi="Helvetica" w:cs="Helvetica"/>
                <w:b/>
                <w:bCs/>
                <w:sz w:val="28"/>
                <w:szCs w:val="28"/>
              </w:rPr>
              <w:t>WORLD WEATHER WATCH</w:t>
            </w:r>
          </w:p>
          <w:p w:rsidR="00701FDB" w:rsidRPr="00683FE2" w:rsidRDefault="00701FDB" w:rsidP="00E92931">
            <w:pPr>
              <w:shd w:val="clear" w:color="auto" w:fill="FFFFFF"/>
              <w:spacing w:before="60" w:beforeAutospacing="0" w:after="120" w:afterAutospacing="0"/>
              <w:jc w:val="center"/>
              <w:outlineLvl w:val="1"/>
              <w:rPr>
                <w:rFonts w:ascii="Helvetica" w:hAnsi="Helvetica" w:cs="Helvetica"/>
                <w:b/>
                <w:bCs/>
                <w:sz w:val="28"/>
                <w:szCs w:val="28"/>
              </w:rPr>
            </w:pPr>
            <w:r w:rsidRPr="00FF7038">
              <w:rPr>
                <w:rFonts w:ascii="Helvetica" w:hAnsi="Helvetica" w:cs="Helvetica"/>
                <w:b/>
                <w:bCs/>
                <w:sz w:val="28"/>
                <w:szCs w:val="28"/>
              </w:rPr>
              <w:t>COMMIS</w:t>
            </w:r>
            <w:r>
              <w:rPr>
                <w:rFonts w:ascii="Helvetica" w:hAnsi="Helvetica" w:cs="Helvetica"/>
                <w:b/>
                <w:bCs/>
                <w:sz w:val="28"/>
                <w:szCs w:val="28"/>
              </w:rPr>
              <w:t>S</w:t>
            </w:r>
            <w:r w:rsidRPr="00FF7038">
              <w:rPr>
                <w:rFonts w:ascii="Helvetica" w:hAnsi="Helvetica" w:cs="Helvetica"/>
                <w:b/>
                <w:bCs/>
                <w:sz w:val="28"/>
                <w:szCs w:val="28"/>
              </w:rPr>
              <w:t>ION FOR BASIC SYSTEMS</w:t>
            </w:r>
          </w:p>
        </w:tc>
        <w:bookmarkStart w:id="0" w:name="ditulogo"/>
        <w:bookmarkEnd w:id="0"/>
        <w:tc>
          <w:tcPr>
            <w:tcW w:w="5483" w:type="dxa"/>
            <w:gridSpan w:val="4"/>
            <w:tcMar>
              <w:left w:w="6" w:type="dxa"/>
              <w:right w:w="6" w:type="dxa"/>
            </w:tcMar>
          </w:tcPr>
          <w:p w:rsidR="00701FDB" w:rsidRPr="00812884" w:rsidRDefault="00E33512" w:rsidP="00E33512">
            <w:pPr>
              <w:shd w:val="solid" w:color="FFFFFF" w:fill="FFFFFF"/>
              <w:spacing w:before="240" w:beforeAutospacing="0" w:after="0" w:afterAutospacing="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9" o:title=""/>
                </v:shape>
                <o:OLEObject Type="Embed" ProgID="PBrush" ShapeID="_x0000_i1025" DrawAspect="Content" ObjectID="_1455349735" r:id="rId10"/>
              </w:object>
            </w:r>
          </w:p>
        </w:tc>
      </w:tr>
      <w:tr w:rsidR="00701FDB" w:rsidRPr="00812884">
        <w:trPr>
          <w:cantSplit/>
        </w:trPr>
        <w:tc>
          <w:tcPr>
            <w:tcW w:w="6228" w:type="dxa"/>
            <w:gridSpan w:val="2"/>
            <w:tcBorders>
              <w:top w:val="single" w:sz="12" w:space="0" w:color="auto"/>
            </w:tcBorders>
          </w:tcPr>
          <w:p w:rsidR="00701FDB" w:rsidRPr="00812884" w:rsidRDefault="00701FDB" w:rsidP="00E33512">
            <w:pPr>
              <w:shd w:val="solid" w:color="FFFFFF" w:fill="FFFFFF"/>
              <w:spacing w:after="48"/>
              <w:rPr>
                <w:rFonts w:ascii="Verdana" w:hAnsi="Verdana" w:cs="Verdana"/>
              </w:rPr>
            </w:pPr>
          </w:p>
        </w:tc>
        <w:tc>
          <w:tcPr>
            <w:tcW w:w="3803" w:type="dxa"/>
            <w:gridSpan w:val="3"/>
            <w:tcBorders>
              <w:top w:val="single" w:sz="12" w:space="0" w:color="auto"/>
            </w:tcBorders>
          </w:tcPr>
          <w:p w:rsidR="00701FDB" w:rsidRPr="00812884" w:rsidRDefault="00701FDB" w:rsidP="00E33512">
            <w:pPr>
              <w:shd w:val="solid" w:color="FFFFFF" w:fill="FFFFFF"/>
              <w:spacing w:after="48" w:line="240" w:lineRule="atLeast"/>
            </w:pPr>
          </w:p>
        </w:tc>
      </w:tr>
      <w:tr w:rsidR="00682FE9" w:rsidRPr="00812884">
        <w:trPr>
          <w:cantSplit/>
          <w:trHeight w:val="83"/>
        </w:trPr>
        <w:tc>
          <w:tcPr>
            <w:tcW w:w="6228" w:type="dxa"/>
            <w:gridSpan w:val="2"/>
            <w:vMerge w:val="restart"/>
          </w:tcPr>
          <w:p w:rsidR="00682FE9" w:rsidRPr="00872AB2" w:rsidRDefault="00872AB2" w:rsidP="00872AB2">
            <w:pPr>
              <w:shd w:val="solid" w:color="FFFFFF" w:fill="FFFFFF"/>
              <w:spacing w:after="240"/>
              <w:rPr>
                <w:rFonts w:ascii="Verdana" w:hAnsi="Verdana" w:cs="Verdana"/>
                <w:b/>
                <w:sz w:val="20"/>
                <w:szCs w:val="20"/>
              </w:rPr>
            </w:pPr>
            <w:bookmarkStart w:id="1" w:name="recibido"/>
            <w:bookmarkStart w:id="2" w:name="dnum" w:colFirst="1" w:colLast="1"/>
            <w:bookmarkEnd w:id="1"/>
            <w:r w:rsidRPr="00872AB2">
              <w:rPr>
                <w:rFonts w:ascii="Verdana" w:hAnsi="Verdana" w:cs="Verdana"/>
                <w:b/>
                <w:sz w:val="20"/>
                <w:szCs w:val="20"/>
              </w:rPr>
              <w:t xml:space="preserve">Steering Group on Radio Frequency </w:t>
            </w:r>
            <w:r>
              <w:rPr>
                <w:rFonts w:ascii="Verdana" w:hAnsi="Verdana" w:cs="Verdana"/>
                <w:b/>
                <w:sz w:val="20"/>
                <w:szCs w:val="20"/>
              </w:rPr>
              <w:br/>
            </w:r>
            <w:r w:rsidRPr="00872AB2">
              <w:rPr>
                <w:rFonts w:ascii="Verdana" w:hAnsi="Verdana" w:cs="Verdana"/>
                <w:b/>
                <w:sz w:val="20"/>
                <w:szCs w:val="20"/>
              </w:rPr>
              <w:t>Coordination (SG-RFC)</w:t>
            </w:r>
          </w:p>
          <w:p w:rsidR="00872AB2" w:rsidRPr="0044117D" w:rsidRDefault="006F650D" w:rsidP="006F650D">
            <w:pPr>
              <w:shd w:val="solid" w:color="FFFFFF" w:fill="FFFFFF"/>
              <w:spacing w:after="240"/>
              <w:rPr>
                <w:rFonts w:ascii="Verdana" w:hAnsi="Verdana" w:cs="Verdana"/>
                <w:sz w:val="20"/>
                <w:szCs w:val="20"/>
              </w:rPr>
            </w:pPr>
            <w:r>
              <w:rPr>
                <w:rFonts w:ascii="Verdana" w:hAnsi="Verdana" w:cs="Verdana"/>
                <w:b/>
                <w:sz w:val="20"/>
                <w:szCs w:val="20"/>
              </w:rPr>
              <w:t>Boulder, Colorado. USA</w:t>
            </w:r>
            <w:r w:rsidR="00872AB2" w:rsidRPr="00872AB2">
              <w:rPr>
                <w:rFonts w:ascii="Verdana" w:hAnsi="Verdana" w:cs="Verdana"/>
                <w:b/>
                <w:sz w:val="20"/>
                <w:szCs w:val="20"/>
              </w:rPr>
              <w:t xml:space="preserve">. </w:t>
            </w:r>
            <w:r>
              <w:rPr>
                <w:rFonts w:ascii="Verdana" w:hAnsi="Verdana" w:cs="Verdana"/>
                <w:b/>
                <w:sz w:val="20"/>
                <w:szCs w:val="20"/>
              </w:rPr>
              <w:t>11-13</w:t>
            </w:r>
            <w:r w:rsidR="00872AB2" w:rsidRPr="00872AB2">
              <w:rPr>
                <w:rFonts w:ascii="Verdana" w:hAnsi="Verdana" w:cs="Verdana"/>
                <w:b/>
                <w:sz w:val="20"/>
                <w:szCs w:val="20"/>
              </w:rPr>
              <w:t xml:space="preserve"> March 2014</w:t>
            </w:r>
            <w:r w:rsidR="00872AB2">
              <w:rPr>
                <w:rFonts w:ascii="Verdana" w:hAnsi="Verdana" w:cs="Verdana"/>
                <w:b/>
                <w:sz w:val="20"/>
                <w:szCs w:val="20"/>
              </w:rPr>
              <w:t>.</w:t>
            </w:r>
          </w:p>
        </w:tc>
        <w:tc>
          <w:tcPr>
            <w:tcW w:w="3803" w:type="dxa"/>
            <w:gridSpan w:val="3"/>
          </w:tcPr>
          <w:p w:rsidR="00682FE9" w:rsidRPr="007A7EA5" w:rsidRDefault="00682FE9" w:rsidP="00C66F97">
            <w:pPr>
              <w:shd w:val="solid" w:color="FFFFFF" w:fill="FFFFFF"/>
              <w:spacing w:line="240" w:lineRule="atLeast"/>
              <w:rPr>
                <w:rFonts w:ascii="Verdana" w:hAnsi="Verdana" w:cs="Verdana"/>
                <w:sz w:val="20"/>
                <w:szCs w:val="20"/>
                <w:lang w:eastAsia="zh-CN"/>
              </w:rPr>
            </w:pPr>
            <w:r w:rsidRPr="00812884">
              <w:rPr>
                <w:rFonts w:ascii="Verdana" w:hAnsi="Verdana" w:cs="Verdana"/>
                <w:b/>
                <w:bCs/>
                <w:sz w:val="20"/>
                <w:szCs w:val="20"/>
                <w:lang w:eastAsia="zh-CN"/>
              </w:rPr>
              <w:t xml:space="preserve">Document </w:t>
            </w:r>
            <w:r>
              <w:rPr>
                <w:rFonts w:ascii="Verdana" w:hAnsi="Verdana" w:cs="Verdana"/>
                <w:b/>
                <w:bCs/>
                <w:sz w:val="20"/>
                <w:szCs w:val="20"/>
                <w:lang w:eastAsia="zh-CN"/>
              </w:rPr>
              <w:t>SG-RFC/201</w:t>
            </w:r>
            <w:r w:rsidR="002A46EC">
              <w:rPr>
                <w:rFonts w:ascii="Verdana" w:hAnsi="Verdana" w:cs="Verdana"/>
                <w:b/>
                <w:bCs/>
                <w:sz w:val="20"/>
                <w:szCs w:val="20"/>
                <w:lang w:eastAsia="zh-CN"/>
              </w:rPr>
              <w:t>4</w:t>
            </w:r>
            <w:r>
              <w:rPr>
                <w:rFonts w:ascii="Verdana" w:hAnsi="Verdana" w:cs="Verdana"/>
                <w:b/>
                <w:bCs/>
                <w:sz w:val="20"/>
                <w:szCs w:val="20"/>
                <w:lang w:eastAsia="zh-CN"/>
              </w:rPr>
              <w:t>-1-</w:t>
            </w:r>
            <w:r w:rsidR="00C66F97">
              <w:rPr>
                <w:rFonts w:ascii="Verdana" w:hAnsi="Verdana" w:cs="Verdana"/>
                <w:b/>
                <w:bCs/>
                <w:sz w:val="20"/>
                <w:szCs w:val="20"/>
                <w:lang w:eastAsia="zh-CN"/>
              </w:rPr>
              <w:t>15</w:t>
            </w:r>
          </w:p>
        </w:tc>
      </w:tr>
      <w:tr w:rsidR="00682FE9" w:rsidRPr="00812884">
        <w:trPr>
          <w:cantSplit/>
          <w:trHeight w:val="81"/>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C66F97" w:rsidP="00872AB2">
            <w:pPr>
              <w:shd w:val="solid" w:color="FFFFFF" w:fill="FFFFFF"/>
              <w:spacing w:before="0" w:line="240" w:lineRule="atLeast"/>
              <w:rPr>
                <w:rFonts w:ascii="Verdana" w:hAnsi="Verdana" w:cs="Verdana"/>
                <w:sz w:val="20"/>
                <w:szCs w:val="20"/>
                <w:lang w:eastAsia="zh-CN"/>
              </w:rPr>
            </w:pPr>
            <w:r w:rsidRPr="00C66F97">
              <w:rPr>
                <w:rFonts w:ascii="Verdana" w:hAnsi="Verdana" w:cs="Verdana"/>
                <w:b/>
                <w:bCs/>
                <w:sz w:val="20"/>
                <w:szCs w:val="20"/>
                <w:lang w:eastAsia="zh-CN"/>
              </w:rPr>
              <w:t>02 March</w:t>
            </w:r>
            <w:r w:rsidR="00682FE9" w:rsidRPr="00C66F97">
              <w:rPr>
                <w:rFonts w:ascii="Verdana" w:hAnsi="Verdana" w:cs="Verdana"/>
                <w:b/>
                <w:bCs/>
                <w:sz w:val="20"/>
                <w:szCs w:val="20"/>
                <w:lang w:eastAsia="zh-CN"/>
              </w:rPr>
              <w:t xml:space="preserve"> </w:t>
            </w:r>
            <w:r w:rsidR="00872AB2" w:rsidRPr="00C66F97">
              <w:rPr>
                <w:rFonts w:ascii="Verdana" w:hAnsi="Verdana" w:cs="Verdana"/>
                <w:b/>
                <w:bCs/>
                <w:sz w:val="20"/>
                <w:szCs w:val="20"/>
                <w:lang w:eastAsia="zh-CN"/>
              </w:rPr>
              <w:t>2014</w:t>
            </w: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682FE9" w:rsidP="00E33512">
            <w:pPr>
              <w:shd w:val="solid" w:color="FFFFFF" w:fill="FFFFFF"/>
              <w:spacing w:before="0" w:line="240" w:lineRule="atLeast"/>
              <w:rPr>
                <w:rFonts w:ascii="Verdana" w:eastAsia="SimSun" w:hAnsi="Verdana"/>
                <w:sz w:val="20"/>
                <w:szCs w:val="20"/>
                <w:lang w:eastAsia="zh-CN"/>
              </w:rPr>
            </w:pPr>
            <w:r w:rsidRPr="00812884">
              <w:rPr>
                <w:rFonts w:ascii="Verdana" w:eastAsia="SimSun" w:hAnsi="Verdana" w:cs="Verdana"/>
                <w:b/>
                <w:bCs/>
                <w:sz w:val="20"/>
                <w:szCs w:val="20"/>
                <w:lang w:eastAsia="zh-CN"/>
              </w:rPr>
              <w:t>English only</w:t>
            </w: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682FE9" w:rsidP="00E33512">
            <w:pPr>
              <w:shd w:val="solid" w:color="FFFFFF" w:fill="FFFFFF"/>
              <w:spacing w:before="0" w:line="240" w:lineRule="atLeast"/>
              <w:rPr>
                <w:rFonts w:ascii="Verdana" w:eastAsia="SimSun" w:hAnsi="Verdana" w:cs="Verdana"/>
                <w:b/>
                <w:bCs/>
                <w:sz w:val="20"/>
                <w:szCs w:val="20"/>
                <w:lang w:eastAsia="zh-CN"/>
              </w:rPr>
            </w:pP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2880" w:type="dxa"/>
            <w:tcBorders>
              <w:right w:val="single" w:sz="8" w:space="0" w:color="auto"/>
            </w:tcBorders>
            <w:tcMar>
              <w:top w:w="11" w:type="dxa"/>
              <w:bottom w:w="11" w:type="dxa"/>
            </w:tcMar>
            <w:vAlign w:val="center"/>
          </w:tcPr>
          <w:p w:rsidR="00682FE9" w:rsidRPr="00BC3021" w:rsidRDefault="00682FE9" w:rsidP="00E33512">
            <w:pPr>
              <w:shd w:val="solid" w:color="FFFFFF" w:fill="FFFFFF"/>
              <w:spacing w:before="0" w:line="240" w:lineRule="atLeast"/>
              <w:rPr>
                <w:rFonts w:ascii="Verdana" w:eastAsia="SimSun" w:hAnsi="Verdana" w:cs="Verdana"/>
                <w:b/>
                <w:bCs/>
                <w:sz w:val="20"/>
                <w:szCs w:val="20"/>
                <w:lang w:eastAsia="zh-CN"/>
              </w:rPr>
            </w:pPr>
            <w:r w:rsidRPr="00BC3021">
              <w:rPr>
                <w:rFonts w:ascii="Verdana" w:eastAsia="SimSun" w:hAnsi="Verdana" w:cs="Verdana"/>
                <w:b/>
                <w:bCs/>
                <w:sz w:val="20"/>
                <w:szCs w:val="20"/>
                <w:lang w:eastAsia="zh-CN"/>
              </w:rPr>
              <w:t>Restricted access</w:t>
            </w:r>
            <w:r>
              <w:rPr>
                <w:rFonts w:ascii="Verdana" w:eastAsia="SimSun" w:hAnsi="Verdana" w:cs="Verdana"/>
                <w:b/>
                <w:bCs/>
                <w:sz w:val="20"/>
                <w:szCs w:val="20"/>
                <w:lang w:eastAsia="zh-CN"/>
              </w:rPr>
              <w:t xml:space="preserve"> </w:t>
            </w:r>
            <w:r w:rsidRPr="00BC3021">
              <w:rPr>
                <w:rFonts w:ascii="Verdana" w:eastAsia="SimSun" w:hAnsi="Verdana" w:cs="Verdana"/>
                <w:b/>
                <w:bCs/>
                <w:sz w:val="20"/>
                <w:szCs w:val="20"/>
                <w:lang w:eastAsia="zh-CN"/>
              </w:rPr>
              <w:t>required? (Y/N)</w:t>
            </w:r>
            <w:r>
              <w:rPr>
                <w:rStyle w:val="FootnoteReference"/>
                <w:rFonts w:ascii="Verdana" w:eastAsia="SimSun" w:hAnsi="Verdana" w:cs="Verdana"/>
                <w:b/>
                <w:bCs/>
                <w:sz w:val="20"/>
                <w:szCs w:val="20"/>
                <w:lang w:eastAsia="zh-CN"/>
              </w:rPr>
              <w:footnoteReference w:customMarkFollows="1" w:id="1"/>
              <w:t>*</w:t>
            </w:r>
          </w:p>
        </w:tc>
        <w:tc>
          <w:tcPr>
            <w:tcW w:w="480"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r w:rsidRPr="00872AB2">
              <w:rPr>
                <w:rFonts w:ascii="Verdana" w:eastAsia="SimSun" w:hAnsi="Verdana" w:cs="Verdana"/>
                <w:b/>
                <w:bCs/>
                <w:sz w:val="20"/>
                <w:szCs w:val="20"/>
                <w:highlight w:val="yellow"/>
                <w:lang w:eastAsia="zh-CN"/>
              </w:rPr>
              <w:t>N</w:t>
            </w:r>
          </w:p>
        </w:tc>
        <w:tc>
          <w:tcPr>
            <w:tcW w:w="443" w:type="dxa"/>
            <w:tcBorders>
              <w:left w:val="single" w:sz="8" w:space="0" w:color="auto"/>
            </w:tcBorders>
            <w:vAlign w:val="center"/>
          </w:tcPr>
          <w:p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p>
        </w:tc>
      </w:tr>
      <w:tr w:rsidR="00701FDB" w:rsidRPr="00812884">
        <w:trPr>
          <w:cantSplit/>
        </w:trPr>
        <w:tc>
          <w:tcPr>
            <w:tcW w:w="10031" w:type="dxa"/>
            <w:gridSpan w:val="5"/>
            <w:noWrap/>
            <w:tcMar>
              <w:left w:w="6" w:type="dxa"/>
              <w:right w:w="6" w:type="dxa"/>
            </w:tcMar>
          </w:tcPr>
          <w:p w:rsidR="00701FDB" w:rsidRPr="00683FE2" w:rsidRDefault="00701FDB" w:rsidP="00832FA4">
            <w:pPr>
              <w:pStyle w:val="Source"/>
              <w:rPr>
                <w:lang w:eastAsia="zh-CN"/>
              </w:rPr>
            </w:pPr>
            <w:bookmarkStart w:id="3" w:name="dsource" w:colFirst="0" w:colLast="0"/>
            <w:bookmarkEnd w:id="2"/>
            <w:r w:rsidRPr="00683FE2">
              <w:t>STEERING GROUP ON RADIO FREQUENCY COORDINATION (SG-RFC)</w:t>
            </w:r>
          </w:p>
        </w:tc>
      </w:tr>
      <w:tr w:rsidR="00B1454C" w:rsidRPr="00812884">
        <w:trPr>
          <w:cantSplit/>
        </w:trPr>
        <w:tc>
          <w:tcPr>
            <w:tcW w:w="10031" w:type="dxa"/>
            <w:gridSpan w:val="5"/>
          </w:tcPr>
          <w:p w:rsidR="00B1454C" w:rsidRPr="00D027EB" w:rsidRDefault="00FC7EB3" w:rsidP="00781BC4">
            <w:pPr>
              <w:pStyle w:val="RepNo"/>
              <w:rPr>
                <w:b/>
                <w:bCs/>
                <w:lang w:eastAsia="zh-CN"/>
              </w:rPr>
            </w:pPr>
            <w:bookmarkStart w:id="4" w:name="drec" w:colFirst="0" w:colLast="0"/>
            <w:bookmarkEnd w:id="3"/>
            <w:r>
              <w:rPr>
                <w:lang w:val="en-US" w:eastAsia="zh-CN"/>
              </w:rPr>
              <w:t xml:space="preserve">SG-RFC Focal Point </w:t>
            </w:r>
            <w:r w:rsidR="00781BC4">
              <w:rPr>
                <w:lang w:val="en-US" w:eastAsia="zh-CN"/>
              </w:rPr>
              <w:t>IN THE ASIA-Pacific Telecommunity (APT)</w:t>
            </w:r>
          </w:p>
        </w:tc>
      </w:tr>
      <w:tr w:rsidR="00B1454C" w:rsidRPr="00812884">
        <w:trPr>
          <w:cantSplit/>
        </w:trPr>
        <w:tc>
          <w:tcPr>
            <w:tcW w:w="10031" w:type="dxa"/>
            <w:gridSpan w:val="5"/>
          </w:tcPr>
          <w:p w:rsidR="00B1454C" w:rsidRPr="00344376" w:rsidRDefault="00FC7EB3" w:rsidP="003D38B9">
            <w:pPr>
              <w:pStyle w:val="Reptitle"/>
              <w:rPr>
                <w:bCs w:val="0"/>
                <w:lang w:eastAsia="zh-CN"/>
              </w:rPr>
            </w:pPr>
            <w:bookmarkStart w:id="5" w:name="dtitle1" w:colFirst="0" w:colLast="0"/>
            <w:bookmarkEnd w:id="4"/>
            <w:r>
              <w:rPr>
                <w:bCs w:val="0"/>
              </w:rPr>
              <w:t xml:space="preserve">Report on </w:t>
            </w:r>
            <w:bookmarkStart w:id="6" w:name="_GoBack"/>
            <w:r w:rsidR="00781BC4">
              <w:rPr>
                <w:bCs w:val="0"/>
              </w:rPr>
              <w:t xml:space="preserve">APT </w:t>
            </w:r>
            <w:r w:rsidR="003D38B9">
              <w:rPr>
                <w:bCs w:val="0"/>
              </w:rPr>
              <w:t>Views</w:t>
            </w:r>
            <w:r w:rsidR="00781BC4">
              <w:rPr>
                <w:bCs w:val="0"/>
              </w:rPr>
              <w:t xml:space="preserve"> on WRC-15 Agenda Items</w:t>
            </w:r>
            <w:r w:rsidR="003D38B9">
              <w:rPr>
                <w:bCs w:val="0"/>
              </w:rPr>
              <w:t xml:space="preserve"> of WMO Interest</w:t>
            </w:r>
            <w:bookmarkEnd w:id="6"/>
          </w:p>
        </w:tc>
      </w:tr>
      <w:bookmarkEnd w:id="5"/>
    </w:tbl>
    <w:p w:rsidR="00B1454C" w:rsidRDefault="00B1454C" w:rsidP="00B1454C">
      <w:pPr>
        <w:shd w:val="clear" w:color="auto" w:fill="FFFFFF"/>
        <w:spacing w:before="0" w:beforeAutospacing="0" w:after="0" w:afterAutospacing="0"/>
        <w:jc w:val="center"/>
        <w:outlineLvl w:val="1"/>
        <w:rPr>
          <w:rFonts w:ascii="Helvetica" w:hAnsi="Helvetica" w:cs="Helvetica"/>
          <w:b/>
          <w:bCs/>
          <w:sz w:val="28"/>
          <w:szCs w:val="28"/>
        </w:rPr>
      </w:pPr>
    </w:p>
    <w:p w:rsidR="00B1454C" w:rsidRDefault="00C33900" w:rsidP="00A530FD">
      <w:r>
        <w:rPr>
          <w:b/>
          <w:bCs/>
          <w:u w:val="single"/>
        </w:rPr>
        <w:t xml:space="preserve">1. </w:t>
      </w:r>
      <w:r w:rsidR="00B1454C">
        <w:rPr>
          <w:b/>
          <w:bCs/>
          <w:u w:val="single"/>
        </w:rPr>
        <w:t>Introduction</w:t>
      </w:r>
    </w:p>
    <w:p w:rsidR="00412162" w:rsidRPr="00412162" w:rsidRDefault="00412162" w:rsidP="00412162">
      <w:r w:rsidRPr="00412162">
        <w:t xml:space="preserve">The </w:t>
      </w:r>
      <w:r>
        <w:t>second</w:t>
      </w:r>
      <w:r w:rsidRPr="00412162">
        <w:t xml:space="preserve"> meeting of the Asia-Pacific Telecommunity (APT) Conference Preparatory Group for WRC-15 (APG15-</w:t>
      </w:r>
      <w:r>
        <w:t>2</w:t>
      </w:r>
      <w:r w:rsidR="0097015B">
        <w:t xml:space="preserve">) </w:t>
      </w:r>
      <w:r w:rsidRPr="00412162">
        <w:t xml:space="preserve">was held from 1 to </w:t>
      </w:r>
      <w:r>
        <w:t>5</w:t>
      </w:r>
      <w:r w:rsidRPr="00412162">
        <w:t xml:space="preserve"> </w:t>
      </w:r>
      <w:r>
        <w:t>July</w:t>
      </w:r>
      <w:r w:rsidRPr="00412162">
        <w:t xml:space="preserve"> 201</w:t>
      </w:r>
      <w:r>
        <w:t>3</w:t>
      </w:r>
      <w:r w:rsidRPr="00412162">
        <w:t xml:space="preserve"> in </w:t>
      </w:r>
      <w:r>
        <w:t>Bangkok</w:t>
      </w:r>
      <w:r w:rsidRPr="00412162">
        <w:t xml:space="preserve">, </w:t>
      </w:r>
      <w:r>
        <w:t>Thailand</w:t>
      </w:r>
      <w:r w:rsidRPr="00412162">
        <w:t xml:space="preserve">. </w:t>
      </w:r>
      <w:r w:rsidR="00B65F89">
        <w:t>T</w:t>
      </w:r>
      <w:r w:rsidR="0097015B">
        <w:t xml:space="preserve">he main focus was on Agenda item </w:t>
      </w:r>
      <w:proofErr w:type="gramStart"/>
      <w:r w:rsidR="0097015B">
        <w:t>1.1,</w:t>
      </w:r>
      <w:proofErr w:type="gramEnd"/>
      <w:r w:rsidR="0097015B">
        <w:t xml:space="preserve"> however progress was made on the development of </w:t>
      </w:r>
      <w:r w:rsidR="00AA5121">
        <w:t xml:space="preserve">preliminary </w:t>
      </w:r>
      <w:r w:rsidR="00F701F9">
        <w:t>views</w:t>
      </w:r>
      <w:r w:rsidR="0097015B">
        <w:t xml:space="preserve"> on most Agenda ite</w:t>
      </w:r>
      <w:r w:rsidR="00AA5121">
        <w:t xml:space="preserve">ms of interest to the WMO. </w:t>
      </w:r>
      <w:r w:rsidR="00716EFA">
        <w:t>The next APG meeting is scheduled for June 9-13 2014 in Brisbane, Australia.</w:t>
      </w:r>
    </w:p>
    <w:p w:rsidR="005D6572" w:rsidRPr="005D6572" w:rsidRDefault="00C33900" w:rsidP="00A530FD">
      <w:pPr>
        <w:rPr>
          <w:bCs/>
        </w:rPr>
      </w:pPr>
      <w:r>
        <w:rPr>
          <w:b/>
          <w:bCs/>
          <w:u w:val="single"/>
        </w:rPr>
        <w:t>2</w:t>
      </w:r>
      <w:r w:rsidR="00A530FD">
        <w:rPr>
          <w:b/>
          <w:bCs/>
          <w:u w:val="single"/>
        </w:rPr>
        <w:t>. Action (by SG-RFC) Proposed</w:t>
      </w:r>
      <w:r w:rsidR="00A530FD" w:rsidRPr="00A530FD">
        <w:rPr>
          <w:bCs/>
          <w:i/>
        </w:rPr>
        <w:t xml:space="preserve"> </w:t>
      </w:r>
    </w:p>
    <w:p w:rsidR="00A530FD" w:rsidRDefault="001B10D7" w:rsidP="00A530FD">
      <w:r>
        <w:t>Note the information in the attached table.</w:t>
      </w:r>
    </w:p>
    <w:p w:rsidR="00A530FD" w:rsidRDefault="00C33900" w:rsidP="00A530FD">
      <w:pPr>
        <w:rPr>
          <w:bCs/>
          <w:i/>
        </w:rPr>
      </w:pPr>
      <w:r>
        <w:rPr>
          <w:b/>
          <w:bCs/>
          <w:u w:val="single"/>
        </w:rPr>
        <w:t>3</w:t>
      </w:r>
      <w:r w:rsidR="00A530FD">
        <w:rPr>
          <w:b/>
          <w:bCs/>
          <w:u w:val="single"/>
        </w:rPr>
        <w:t>. Draft Text for Inclusion in the SG-RFC Meeting Reports or Other Documents</w:t>
      </w:r>
      <w:r w:rsidR="00107650">
        <w:rPr>
          <w:bCs/>
          <w:i/>
        </w:rPr>
        <w:t xml:space="preserve"> </w:t>
      </w:r>
    </w:p>
    <w:p w:rsidR="00C33900" w:rsidRPr="00C33900" w:rsidRDefault="00C33900" w:rsidP="00A530FD">
      <w:proofErr w:type="gramStart"/>
      <w:r w:rsidRPr="00C33900">
        <w:rPr>
          <w:bCs/>
        </w:rPr>
        <w:t>None</w:t>
      </w:r>
      <w:r w:rsidR="00FE3FBC">
        <w:rPr>
          <w:bCs/>
        </w:rPr>
        <w:t>.</w:t>
      </w:r>
      <w:proofErr w:type="gramEnd"/>
    </w:p>
    <w:p w:rsidR="00A530FD" w:rsidRDefault="00A530FD" w:rsidP="00A530FD">
      <w:pPr>
        <w:pStyle w:val="Default"/>
        <w:jc w:val="both"/>
      </w:pPr>
    </w:p>
    <w:p w:rsidR="00D82060" w:rsidRDefault="00D82060" w:rsidP="00236E22">
      <w:pPr>
        <w:jc w:val="center"/>
        <w:sectPr w:rsidR="00D82060" w:rsidSect="00167708">
          <w:headerReference w:type="default" r:id="rId11"/>
          <w:footnotePr>
            <w:numFmt w:val="chicago"/>
          </w:footnotePr>
          <w:pgSz w:w="11907" w:h="16840" w:code="9"/>
          <w:pgMar w:top="1134" w:right="1134" w:bottom="1134" w:left="1134" w:header="720" w:footer="720" w:gutter="0"/>
          <w:cols w:space="720"/>
          <w:titlePg/>
          <w:docGrid w:linePitch="360"/>
        </w:sectPr>
      </w:pPr>
    </w:p>
    <w:tbl>
      <w:tblPr>
        <w:tblStyle w:val="TableGrid"/>
        <w:tblW w:w="15417" w:type="dxa"/>
        <w:tblLayout w:type="fixed"/>
        <w:tblLook w:val="04A0" w:firstRow="1" w:lastRow="0" w:firstColumn="1" w:lastColumn="0" w:noHBand="0" w:noVBand="1"/>
      </w:tblPr>
      <w:tblGrid>
        <w:gridCol w:w="817"/>
        <w:gridCol w:w="4253"/>
        <w:gridCol w:w="4677"/>
        <w:gridCol w:w="5670"/>
      </w:tblGrid>
      <w:tr w:rsidR="00D82060" w:rsidTr="00236E22">
        <w:tc>
          <w:tcPr>
            <w:tcW w:w="817" w:type="dxa"/>
            <w:tcBorders>
              <w:top w:val="single" w:sz="4" w:space="0" w:color="auto"/>
              <w:left w:val="single" w:sz="4" w:space="0" w:color="auto"/>
              <w:bottom w:val="single" w:sz="4" w:space="0" w:color="auto"/>
              <w:right w:val="nil"/>
            </w:tcBorders>
          </w:tcPr>
          <w:p w:rsidR="00D82060" w:rsidRPr="00EE4A74" w:rsidRDefault="00D82060" w:rsidP="00236E22">
            <w:pPr>
              <w:jc w:val="center"/>
              <w:rPr>
                <w:sz w:val="22"/>
                <w:szCs w:val="22"/>
              </w:rPr>
            </w:pPr>
          </w:p>
        </w:tc>
        <w:tc>
          <w:tcPr>
            <w:tcW w:w="4253" w:type="dxa"/>
            <w:tcBorders>
              <w:left w:val="nil"/>
            </w:tcBorders>
          </w:tcPr>
          <w:p w:rsidR="00D82060" w:rsidRPr="00EE4A74" w:rsidRDefault="00D82060" w:rsidP="00236E22">
            <w:pPr>
              <w:jc w:val="center"/>
              <w:rPr>
                <w:sz w:val="22"/>
                <w:szCs w:val="22"/>
              </w:rPr>
            </w:pPr>
            <w:r w:rsidRPr="00EE4A74">
              <w:rPr>
                <w:sz w:val="22"/>
                <w:szCs w:val="22"/>
              </w:rPr>
              <w:t>WRC-15 Agenda Item</w:t>
            </w:r>
          </w:p>
        </w:tc>
        <w:tc>
          <w:tcPr>
            <w:tcW w:w="4677" w:type="dxa"/>
          </w:tcPr>
          <w:p w:rsidR="00D82060" w:rsidRPr="00EE4A74" w:rsidRDefault="00D82060" w:rsidP="00236E22">
            <w:pPr>
              <w:jc w:val="center"/>
              <w:rPr>
                <w:sz w:val="22"/>
                <w:szCs w:val="22"/>
              </w:rPr>
            </w:pPr>
            <w:r w:rsidRPr="00EE4A74">
              <w:rPr>
                <w:sz w:val="22"/>
                <w:szCs w:val="22"/>
              </w:rPr>
              <w:t>WMO Position</w:t>
            </w:r>
          </w:p>
        </w:tc>
        <w:tc>
          <w:tcPr>
            <w:tcW w:w="5670" w:type="dxa"/>
          </w:tcPr>
          <w:p w:rsidR="00D82060" w:rsidRPr="00EE4A74" w:rsidRDefault="00D82060" w:rsidP="00236E22">
            <w:pPr>
              <w:jc w:val="center"/>
              <w:rPr>
                <w:sz w:val="22"/>
                <w:szCs w:val="22"/>
              </w:rPr>
            </w:pPr>
            <w:r w:rsidRPr="00EE4A74">
              <w:rPr>
                <w:sz w:val="22"/>
                <w:szCs w:val="22"/>
              </w:rPr>
              <w:t>APT Preliminary Views</w:t>
            </w:r>
          </w:p>
        </w:tc>
      </w:tr>
      <w:tr w:rsidR="00D82060" w:rsidTr="00236E22">
        <w:tc>
          <w:tcPr>
            <w:tcW w:w="817" w:type="dxa"/>
            <w:tcBorders>
              <w:top w:val="single" w:sz="4" w:space="0" w:color="auto"/>
            </w:tcBorders>
          </w:tcPr>
          <w:p w:rsidR="00D82060" w:rsidRPr="00EE4A74" w:rsidRDefault="00D82060" w:rsidP="00236E22">
            <w:pPr>
              <w:jc w:val="center"/>
              <w:rPr>
                <w:sz w:val="22"/>
                <w:szCs w:val="22"/>
              </w:rPr>
            </w:pPr>
            <w:r w:rsidRPr="00EE4A74">
              <w:rPr>
                <w:sz w:val="22"/>
                <w:szCs w:val="22"/>
              </w:rPr>
              <w:t>1.1</w:t>
            </w:r>
          </w:p>
          <w:p w:rsidR="00D82060" w:rsidRPr="00EE4A74" w:rsidRDefault="00D82060" w:rsidP="00236E22">
            <w:pPr>
              <w:jc w:val="center"/>
              <w:rPr>
                <w:sz w:val="22"/>
                <w:szCs w:val="22"/>
              </w:rPr>
            </w:pPr>
          </w:p>
          <w:p w:rsidR="00D82060" w:rsidRPr="00EE4A74" w:rsidRDefault="00D82060" w:rsidP="00236E22">
            <w:pPr>
              <w:jc w:val="center"/>
              <w:rPr>
                <w:color w:val="000000" w:themeColor="text1"/>
                <w:sz w:val="22"/>
                <w:szCs w:val="22"/>
              </w:rPr>
            </w:pPr>
            <w:r w:rsidRPr="00EE4A74">
              <w:rPr>
                <w:color w:val="000000" w:themeColor="text1"/>
                <w:sz w:val="22"/>
                <w:szCs w:val="22"/>
              </w:rPr>
              <w:t>JTG</w:t>
            </w:r>
            <w:r w:rsidR="00EE4A74" w:rsidRPr="00EE4A74">
              <w:rPr>
                <w:color w:val="000000" w:themeColor="text1"/>
                <w:sz w:val="22"/>
                <w:szCs w:val="22"/>
              </w:rPr>
              <w:t xml:space="preserve"> </w:t>
            </w:r>
            <w:r w:rsidRPr="00EE4A74">
              <w:rPr>
                <w:color w:val="000000" w:themeColor="text1"/>
                <w:sz w:val="22"/>
                <w:szCs w:val="22"/>
              </w:rPr>
              <w:t>4-5-6-7</w:t>
            </w:r>
          </w:p>
        </w:tc>
        <w:tc>
          <w:tcPr>
            <w:tcW w:w="4253" w:type="dxa"/>
          </w:tcPr>
          <w:p w:rsidR="00D82060" w:rsidRPr="00EE4A74" w:rsidRDefault="00D82060" w:rsidP="00236E22">
            <w:pPr>
              <w:rPr>
                <w:sz w:val="22"/>
                <w:szCs w:val="22"/>
              </w:rPr>
            </w:pPr>
            <w:r w:rsidRPr="00EE4A74">
              <w:rPr>
                <w:sz w:val="22"/>
                <w:szCs w:val="22"/>
              </w:rPr>
              <w:t>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233 </w:t>
            </w:r>
            <w:r w:rsidRPr="00EE4A74">
              <w:rPr>
                <w:bCs/>
                <w:sz w:val="22"/>
                <w:szCs w:val="22"/>
              </w:rPr>
              <w:t>(WRC</w:t>
            </w:r>
            <w:r w:rsidRPr="00EE4A74">
              <w:rPr>
                <w:bCs/>
                <w:sz w:val="22"/>
                <w:szCs w:val="22"/>
              </w:rPr>
              <w:noBreakHyphen/>
              <w:t>12).</w:t>
            </w:r>
          </w:p>
        </w:tc>
        <w:tc>
          <w:tcPr>
            <w:tcW w:w="4677" w:type="dxa"/>
          </w:tcPr>
          <w:p w:rsidR="00D82060" w:rsidRPr="00EE4A74" w:rsidRDefault="00D82060" w:rsidP="00236E22">
            <w:pPr>
              <w:rPr>
                <w:sz w:val="22"/>
                <w:szCs w:val="22"/>
                <w:lang w:val="en-GB"/>
              </w:rPr>
            </w:pPr>
            <w:r w:rsidRPr="00EE4A74">
              <w:rPr>
                <w:sz w:val="22"/>
                <w:szCs w:val="22"/>
                <w:lang w:val="en-GB"/>
              </w:rPr>
              <w:t>WMO opposes allocation/identification for terrestrial mobile broadband applications including IMT of the frequency bands 1 675-1 710 MHz, 2 025-2 110 MHz, 2 200-2 290 MHz, 2 700-2 900 MHz and 5 350-5 470 MHz.</w:t>
            </w:r>
          </w:p>
          <w:p w:rsidR="00D82060" w:rsidRPr="00EE4A74" w:rsidRDefault="00D82060" w:rsidP="00236E22">
            <w:pPr>
              <w:rPr>
                <w:sz w:val="22"/>
                <w:szCs w:val="22"/>
                <w:lang w:val="en-GB"/>
              </w:rPr>
            </w:pPr>
            <w:r w:rsidRPr="00EE4A74">
              <w:rPr>
                <w:sz w:val="22"/>
                <w:szCs w:val="22"/>
                <w:lang w:val="en-GB"/>
              </w:rPr>
              <w:t>WMO opposes any allocation in the 1 400-1 427 MHz frequency band, covered by RR No 5.340, and also requires that protection of sensors in this band be ensured from unwanted emissions of terrestrial mobile broadband applications including IMT if proposed in the adjacent bands.</w:t>
            </w:r>
          </w:p>
          <w:p w:rsidR="00D82060" w:rsidRPr="00EE4A74" w:rsidRDefault="00D82060" w:rsidP="00236E22">
            <w:pPr>
              <w:rPr>
                <w:sz w:val="22"/>
                <w:szCs w:val="22"/>
                <w:lang w:val="en-GB"/>
              </w:rPr>
            </w:pPr>
            <w:r w:rsidRPr="00EE4A74">
              <w:rPr>
                <w:sz w:val="22"/>
                <w:szCs w:val="22"/>
                <w:lang w:val="en-GB"/>
              </w:rPr>
              <w:t>In addition, WMO states its requirement to maintain relevant fixed satellite service capacity and availability in the 3 400-4 200 MHz frequency band.</w:t>
            </w:r>
          </w:p>
          <w:p w:rsidR="00D82060" w:rsidRPr="00EE4A74" w:rsidRDefault="00D82060" w:rsidP="00236E22">
            <w:pPr>
              <w:rPr>
                <w:sz w:val="22"/>
                <w:szCs w:val="22"/>
              </w:rPr>
            </w:pPr>
          </w:p>
        </w:tc>
        <w:tc>
          <w:tcPr>
            <w:tcW w:w="5670" w:type="dxa"/>
          </w:tcPr>
          <w:p w:rsidR="00D82060" w:rsidRPr="00EE4A74" w:rsidRDefault="00D82060" w:rsidP="00236E22">
            <w:pPr>
              <w:rPr>
                <w:sz w:val="22"/>
                <w:szCs w:val="22"/>
              </w:rPr>
            </w:pPr>
            <w:r w:rsidRPr="00EE4A74">
              <w:rPr>
                <w:sz w:val="22"/>
                <w:szCs w:val="22"/>
              </w:rPr>
              <w:t xml:space="preserve">APT Members, in principle, support potential additional spectrum allocations to the mobile service on a primary basis and identification of additional frequency bands for International Mobile Telecommunications (IMT) in accordance with Resolution </w:t>
            </w:r>
            <w:r w:rsidRPr="00EE4A74">
              <w:rPr>
                <w:b/>
                <w:bCs/>
                <w:sz w:val="22"/>
                <w:szCs w:val="22"/>
              </w:rPr>
              <w:t>233 (WRC-12)</w:t>
            </w:r>
            <w:r w:rsidRPr="00EE4A74">
              <w:rPr>
                <w:sz w:val="22"/>
                <w:szCs w:val="22"/>
              </w:rPr>
              <w:t xml:space="preserve">. </w:t>
            </w:r>
          </w:p>
          <w:p w:rsidR="00D82060" w:rsidRPr="00EE4A74" w:rsidRDefault="00D82060" w:rsidP="00236E22">
            <w:pPr>
              <w:rPr>
                <w:sz w:val="22"/>
                <w:szCs w:val="22"/>
              </w:rPr>
            </w:pPr>
            <w:r w:rsidRPr="00EE4A74">
              <w:rPr>
                <w:sz w:val="22"/>
                <w:szCs w:val="22"/>
              </w:rPr>
              <w:t xml:space="preserve">- While considering potential candidate bands for additional identification for IMT, APT Members support studies, currently being carried out by ITU-R. </w:t>
            </w:r>
          </w:p>
          <w:p w:rsidR="00D82060" w:rsidRPr="00EE4A74" w:rsidRDefault="00D82060" w:rsidP="00236E22">
            <w:pPr>
              <w:rPr>
                <w:sz w:val="22"/>
                <w:szCs w:val="22"/>
              </w:rPr>
            </w:pPr>
            <w:r w:rsidRPr="00EE4A74">
              <w:rPr>
                <w:sz w:val="22"/>
                <w:szCs w:val="22"/>
              </w:rPr>
              <w:t xml:space="preserve">APT Members are of the view that the ITU-R studies should also take into account; </w:t>
            </w:r>
          </w:p>
          <w:p w:rsidR="00D82060" w:rsidRPr="00EE4A74" w:rsidRDefault="00D82060" w:rsidP="00D82060">
            <w:pPr>
              <w:pStyle w:val="ListParagraph"/>
              <w:numPr>
                <w:ilvl w:val="0"/>
                <w:numId w:val="1"/>
              </w:numPr>
              <w:spacing w:before="0" w:beforeAutospacing="0" w:after="0" w:afterAutospacing="0"/>
              <w:contextualSpacing/>
              <w:rPr>
                <w:sz w:val="22"/>
                <w:szCs w:val="22"/>
              </w:rPr>
            </w:pPr>
            <w:r w:rsidRPr="00EE4A74">
              <w:rPr>
                <w:sz w:val="22"/>
                <w:szCs w:val="22"/>
              </w:rPr>
              <w:t xml:space="preserve">efficient use of spectrum and resolves of Resolution </w:t>
            </w:r>
            <w:r w:rsidRPr="00EE4A74">
              <w:rPr>
                <w:b/>
                <w:bCs/>
                <w:sz w:val="22"/>
                <w:szCs w:val="22"/>
              </w:rPr>
              <w:t>233 (WRC-12)</w:t>
            </w:r>
            <w:r w:rsidRPr="00EE4A74">
              <w:rPr>
                <w:sz w:val="22"/>
                <w:szCs w:val="22"/>
              </w:rPr>
              <w:t xml:space="preserve">; </w:t>
            </w:r>
          </w:p>
          <w:p w:rsidR="00D82060" w:rsidRPr="00EE4A74" w:rsidRDefault="00D82060" w:rsidP="00D82060">
            <w:pPr>
              <w:pStyle w:val="ListParagraph"/>
              <w:numPr>
                <w:ilvl w:val="0"/>
                <w:numId w:val="1"/>
              </w:numPr>
              <w:spacing w:before="0" w:beforeAutospacing="0" w:after="0" w:afterAutospacing="0"/>
              <w:contextualSpacing/>
              <w:rPr>
                <w:sz w:val="22"/>
                <w:szCs w:val="22"/>
              </w:rPr>
            </w:pPr>
            <w:r w:rsidRPr="00EE4A74">
              <w:rPr>
                <w:sz w:val="22"/>
                <w:szCs w:val="22"/>
              </w:rPr>
              <w:t xml:space="preserve">the need for harmonization of spectrum bands to facilitate global roaming and to achieve economies of scale for IMT equipment development; </w:t>
            </w:r>
          </w:p>
          <w:p w:rsidR="00D82060" w:rsidRPr="00EE4A74" w:rsidRDefault="00D82060" w:rsidP="00D82060">
            <w:pPr>
              <w:pStyle w:val="ListParagraph"/>
              <w:numPr>
                <w:ilvl w:val="0"/>
                <w:numId w:val="1"/>
              </w:numPr>
              <w:spacing w:before="0" w:beforeAutospacing="0" w:after="0" w:afterAutospacing="0"/>
              <w:contextualSpacing/>
              <w:rPr>
                <w:sz w:val="22"/>
                <w:szCs w:val="22"/>
              </w:rPr>
            </w:pPr>
            <w:r w:rsidRPr="00EE4A74">
              <w:rPr>
                <w:sz w:val="22"/>
                <w:szCs w:val="22"/>
              </w:rPr>
              <w:t xml:space="preserve">spectrum requirements to address evolving needs, evolving technologies and user demand for IMT and other terrestrial mobile broadband applications as well as other services; </w:t>
            </w:r>
          </w:p>
          <w:p w:rsidR="00D82060" w:rsidRPr="00EE4A74" w:rsidRDefault="00D82060" w:rsidP="00236E22">
            <w:pPr>
              <w:pStyle w:val="ListParagraph"/>
              <w:numPr>
                <w:ilvl w:val="0"/>
                <w:numId w:val="1"/>
              </w:numPr>
              <w:spacing w:before="0" w:beforeAutospacing="0" w:after="0" w:afterAutospacing="0"/>
              <w:contextualSpacing/>
              <w:rPr>
                <w:sz w:val="22"/>
                <w:szCs w:val="22"/>
                <w:lang w:val="en-GB"/>
              </w:rPr>
            </w:pPr>
            <w:r w:rsidRPr="00EE4A74">
              <w:rPr>
                <w:sz w:val="22"/>
                <w:szCs w:val="22"/>
              </w:rPr>
              <w:t xml:space="preserve">sharing and compatibility issues with other services already having allocations in the potential candidate bands and in adjacent bands considering the current and planned use of these bands by the existing services, as well as the applicable studies already performed in ITU-R for the purpose of identification of the spectrum for IMT with respect to corresponding frequency bands being proposed for study. </w:t>
            </w:r>
          </w:p>
          <w:p w:rsidR="00D82060" w:rsidRDefault="00D82060" w:rsidP="00236E22">
            <w:pPr>
              <w:spacing w:after="0"/>
              <w:rPr>
                <w:sz w:val="22"/>
                <w:szCs w:val="22"/>
                <w:lang w:val="en-GB"/>
              </w:rPr>
            </w:pPr>
          </w:p>
          <w:p w:rsidR="00EE4A74" w:rsidRPr="00EE4A74" w:rsidRDefault="00EE4A74" w:rsidP="00236E22">
            <w:pPr>
              <w:spacing w:after="0"/>
              <w:rPr>
                <w:sz w:val="22"/>
                <w:szCs w:val="22"/>
                <w:lang w:val="en-GB"/>
              </w:rPr>
            </w:pPr>
          </w:p>
        </w:tc>
      </w:tr>
      <w:tr w:rsidR="00D82060" w:rsidTr="00236E22">
        <w:tc>
          <w:tcPr>
            <w:tcW w:w="817" w:type="dxa"/>
          </w:tcPr>
          <w:p w:rsidR="00D82060" w:rsidRPr="00EE4A74" w:rsidRDefault="00D82060" w:rsidP="00236E22">
            <w:pPr>
              <w:jc w:val="center"/>
              <w:rPr>
                <w:sz w:val="22"/>
                <w:szCs w:val="22"/>
              </w:rPr>
            </w:pPr>
            <w:r w:rsidRPr="00EE4A74">
              <w:rPr>
                <w:sz w:val="22"/>
                <w:szCs w:val="22"/>
              </w:rPr>
              <w:lastRenderedPageBreak/>
              <w:t>1.6</w:t>
            </w:r>
          </w:p>
          <w:p w:rsidR="00D82060" w:rsidRPr="00EE4A74" w:rsidRDefault="00D82060" w:rsidP="00236E22">
            <w:pPr>
              <w:jc w:val="center"/>
              <w:rPr>
                <w:sz w:val="22"/>
                <w:szCs w:val="22"/>
              </w:rPr>
            </w:pPr>
          </w:p>
          <w:p w:rsidR="00D82060" w:rsidRPr="00EE4A74" w:rsidRDefault="00D82060" w:rsidP="00236E22">
            <w:pPr>
              <w:jc w:val="center"/>
              <w:rPr>
                <w:color w:val="000000" w:themeColor="text1"/>
                <w:sz w:val="22"/>
                <w:szCs w:val="22"/>
              </w:rPr>
            </w:pPr>
            <w:r w:rsidRPr="00EE4A74">
              <w:rPr>
                <w:color w:val="000000" w:themeColor="text1"/>
                <w:sz w:val="22"/>
                <w:szCs w:val="22"/>
              </w:rPr>
              <w:t>WP4A</w:t>
            </w:r>
          </w:p>
        </w:tc>
        <w:tc>
          <w:tcPr>
            <w:tcW w:w="4253" w:type="dxa"/>
          </w:tcPr>
          <w:p w:rsidR="00D82060" w:rsidRPr="00EE4A74" w:rsidRDefault="00D82060" w:rsidP="00236E22">
            <w:pPr>
              <w:tabs>
                <w:tab w:val="num" w:pos="2250"/>
              </w:tabs>
              <w:rPr>
                <w:rFonts w:eastAsia="SimSun"/>
                <w:bCs/>
                <w:sz w:val="22"/>
                <w:szCs w:val="22"/>
                <w:lang w:val="en-GB" w:eastAsia="zh-CN"/>
              </w:rPr>
            </w:pPr>
            <w:r w:rsidRPr="00EE4A74">
              <w:rPr>
                <w:rFonts w:eastAsia="SimSun"/>
                <w:bCs/>
                <w:sz w:val="22"/>
                <w:szCs w:val="22"/>
                <w:lang w:eastAsia="zh-CN"/>
              </w:rPr>
              <w:t>to consider possible additional primary allocations:</w:t>
            </w:r>
          </w:p>
          <w:p w:rsidR="00D82060" w:rsidRPr="00EE4A74" w:rsidRDefault="00D82060" w:rsidP="00236E22">
            <w:pPr>
              <w:tabs>
                <w:tab w:val="num" w:pos="2250"/>
              </w:tabs>
              <w:rPr>
                <w:rFonts w:eastAsia="SimSun"/>
                <w:sz w:val="22"/>
                <w:szCs w:val="22"/>
                <w:lang w:val="en-GB" w:eastAsia="zh-CN"/>
              </w:rPr>
            </w:pPr>
            <w:r w:rsidRPr="00EE4A74">
              <w:rPr>
                <w:rFonts w:eastAsia="SimSun"/>
                <w:b/>
                <w:bCs/>
                <w:sz w:val="22"/>
                <w:szCs w:val="22"/>
                <w:lang w:val="en-GB" w:eastAsia="zh-CN"/>
              </w:rPr>
              <w:t>1.6.1</w:t>
            </w:r>
            <w:r w:rsidRPr="00EE4A74">
              <w:rPr>
                <w:rFonts w:eastAsia="SimSun"/>
                <w:bCs/>
                <w:sz w:val="22"/>
                <w:szCs w:val="22"/>
                <w:lang w:val="en-GB" w:eastAsia="zh-CN"/>
              </w:rPr>
              <w:t>: to the</w:t>
            </w:r>
            <w:r w:rsidRPr="00EE4A74">
              <w:rPr>
                <w:rFonts w:eastAsia="SimSun"/>
                <w:b/>
                <w:bCs/>
                <w:sz w:val="22"/>
                <w:szCs w:val="22"/>
                <w:lang w:val="en-GB" w:eastAsia="zh-CN"/>
              </w:rPr>
              <w:t xml:space="preserve"> </w:t>
            </w:r>
            <w:r w:rsidRPr="00EE4A74">
              <w:rPr>
                <w:rFonts w:eastAsia="SimSun"/>
                <w:bCs/>
                <w:sz w:val="22"/>
                <w:szCs w:val="22"/>
                <w:lang w:val="en-GB" w:eastAsia="zh-CN"/>
              </w:rPr>
              <w:t>fixed-satellite</w:t>
            </w:r>
            <w:r w:rsidRPr="00EE4A74">
              <w:rPr>
                <w:rFonts w:eastAsia="SimSun"/>
                <w:b/>
                <w:bCs/>
                <w:sz w:val="22"/>
                <w:szCs w:val="22"/>
                <w:lang w:val="en-GB" w:eastAsia="zh-CN"/>
              </w:rPr>
              <w:t xml:space="preserve"> </w:t>
            </w:r>
            <w:r w:rsidRPr="00EE4A74">
              <w:rPr>
                <w:rFonts w:eastAsia="SimSun"/>
                <w:bCs/>
                <w:sz w:val="22"/>
                <w:szCs w:val="22"/>
                <w:lang w:val="en-GB" w:eastAsia="zh-CN"/>
              </w:rPr>
              <w:t>service (Earth-to-space and space-to-Earth) of 250 MHz in the range between 10 GHz and 17 GHz in Region 1 and review the regulatory provisions on the current allocations to the fixed-satellite service within each range, taking into account the results of ITU</w:t>
            </w:r>
            <w:r w:rsidRPr="00EE4A74">
              <w:rPr>
                <w:rFonts w:eastAsia="SimSun"/>
                <w:bCs/>
                <w:sz w:val="22"/>
                <w:szCs w:val="22"/>
                <w:lang w:val="en-GB" w:eastAsia="zh-CN"/>
              </w:rPr>
              <w:noBreakHyphen/>
              <w:t>R studies, in accordance with Resolution </w:t>
            </w:r>
            <w:r w:rsidRPr="00EE4A74">
              <w:rPr>
                <w:rFonts w:eastAsia="SimSun"/>
                <w:sz w:val="22"/>
                <w:szCs w:val="22"/>
                <w:lang w:val="en-GB" w:eastAsia="zh-CN"/>
              </w:rPr>
              <w:t>151</w:t>
            </w:r>
            <w:r w:rsidRPr="00EE4A74">
              <w:rPr>
                <w:rFonts w:eastAsia="SimSun"/>
                <w:bCs/>
                <w:sz w:val="22"/>
                <w:szCs w:val="22"/>
                <w:lang w:val="en-GB" w:eastAsia="zh-CN"/>
              </w:rPr>
              <w:t> </w:t>
            </w:r>
            <w:r w:rsidRPr="00EE4A74">
              <w:rPr>
                <w:rFonts w:eastAsia="SimSun"/>
                <w:sz w:val="22"/>
                <w:szCs w:val="22"/>
                <w:lang w:val="en-GB" w:eastAsia="zh-CN"/>
              </w:rPr>
              <w:t>(WRC</w:t>
            </w:r>
            <w:r w:rsidRPr="00EE4A74">
              <w:rPr>
                <w:rFonts w:eastAsia="SimSun"/>
                <w:sz w:val="22"/>
                <w:szCs w:val="22"/>
                <w:lang w:val="en-GB" w:eastAsia="zh-CN"/>
              </w:rPr>
              <w:noBreakHyphen/>
              <w:t>12).</w:t>
            </w:r>
          </w:p>
          <w:p w:rsidR="00D82060" w:rsidRPr="00EE4A74" w:rsidRDefault="00D82060" w:rsidP="00236E22">
            <w:pPr>
              <w:tabs>
                <w:tab w:val="num" w:pos="2250"/>
              </w:tabs>
              <w:rPr>
                <w:rFonts w:eastAsia="SimSun"/>
                <w:bCs/>
                <w:sz w:val="22"/>
                <w:szCs w:val="22"/>
                <w:lang w:val="en-GB" w:eastAsia="zh-CN"/>
              </w:rPr>
            </w:pPr>
            <w:r w:rsidRPr="00EE4A74">
              <w:rPr>
                <w:rFonts w:eastAsia="SimSun"/>
                <w:b/>
                <w:bCs/>
                <w:sz w:val="22"/>
                <w:szCs w:val="22"/>
                <w:lang w:val="en-GB" w:eastAsia="zh-CN"/>
              </w:rPr>
              <w:t>1.6.2</w:t>
            </w:r>
            <w:r w:rsidRPr="00EE4A74">
              <w:rPr>
                <w:rFonts w:eastAsia="SimSun"/>
                <w:bCs/>
                <w:sz w:val="22"/>
                <w:szCs w:val="22"/>
                <w:lang w:val="en-GB" w:eastAsia="zh-CN"/>
              </w:rPr>
              <w:t>: to the fixed-satellite service</w:t>
            </w:r>
            <w:r w:rsidRPr="00EE4A74">
              <w:rPr>
                <w:rFonts w:eastAsia="SimSun"/>
                <w:b/>
                <w:bCs/>
                <w:sz w:val="22"/>
                <w:szCs w:val="22"/>
                <w:lang w:val="en-GB" w:eastAsia="zh-CN"/>
              </w:rPr>
              <w:t xml:space="preserve"> </w:t>
            </w:r>
            <w:r w:rsidRPr="00EE4A74">
              <w:rPr>
                <w:rFonts w:eastAsia="SimSun"/>
                <w:bCs/>
                <w:sz w:val="22"/>
                <w:szCs w:val="22"/>
                <w:lang w:val="en-GB" w:eastAsia="zh-CN"/>
              </w:rPr>
              <w:t>(Earth-to-space) of 250 MHz in Region 2 and 300 MHz in Region 3 within the range 13-17 GHz and review the regulatory provisions on the current allocations to the fixed-satellite service within each range, taking into account the results of ITU</w:t>
            </w:r>
            <w:r w:rsidRPr="00EE4A74">
              <w:rPr>
                <w:rFonts w:eastAsia="SimSun"/>
                <w:bCs/>
                <w:sz w:val="22"/>
                <w:szCs w:val="22"/>
                <w:lang w:val="en-GB" w:eastAsia="zh-CN"/>
              </w:rPr>
              <w:noBreakHyphen/>
              <w:t>R studies, in accordance with Resolution </w:t>
            </w:r>
            <w:r w:rsidRPr="00EE4A74">
              <w:rPr>
                <w:rFonts w:eastAsia="SimSun"/>
                <w:sz w:val="22"/>
                <w:szCs w:val="22"/>
                <w:lang w:val="en-GB" w:eastAsia="zh-CN"/>
              </w:rPr>
              <w:t>152</w:t>
            </w:r>
            <w:r w:rsidRPr="00EE4A74">
              <w:rPr>
                <w:rFonts w:eastAsia="SimSun"/>
                <w:bCs/>
                <w:sz w:val="22"/>
                <w:szCs w:val="22"/>
                <w:lang w:val="en-GB" w:eastAsia="zh-CN"/>
              </w:rPr>
              <w:t> </w:t>
            </w:r>
            <w:r w:rsidRPr="00EE4A74">
              <w:rPr>
                <w:rFonts w:eastAsia="SimSun"/>
                <w:sz w:val="22"/>
                <w:szCs w:val="22"/>
                <w:lang w:val="en-GB" w:eastAsia="zh-CN"/>
              </w:rPr>
              <w:t>(WRC</w:t>
            </w:r>
            <w:r w:rsidRPr="00EE4A74">
              <w:rPr>
                <w:rFonts w:eastAsia="SimSun"/>
                <w:sz w:val="22"/>
                <w:szCs w:val="22"/>
                <w:lang w:val="en-GB" w:eastAsia="zh-CN"/>
              </w:rPr>
              <w:noBreakHyphen/>
              <w:t>12).</w:t>
            </w:r>
          </w:p>
        </w:tc>
        <w:tc>
          <w:tcPr>
            <w:tcW w:w="4677" w:type="dxa"/>
          </w:tcPr>
          <w:p w:rsidR="00D82060" w:rsidRPr="00EE4A74" w:rsidRDefault="00D82060" w:rsidP="00236E22">
            <w:pPr>
              <w:rPr>
                <w:sz w:val="22"/>
                <w:szCs w:val="22"/>
                <w:lang w:val="en-GB"/>
              </w:rPr>
            </w:pPr>
            <w:r w:rsidRPr="00EE4A74">
              <w:rPr>
                <w:sz w:val="22"/>
                <w:szCs w:val="22"/>
                <w:lang w:val="en-GB"/>
              </w:rPr>
              <w:t>WMO opposes a new allocation to FSS in the 13.25-13.75 GHz frequency band.</w:t>
            </w:r>
          </w:p>
          <w:p w:rsidR="00D82060" w:rsidRPr="00EE4A74" w:rsidRDefault="00D82060" w:rsidP="00236E22">
            <w:pPr>
              <w:rPr>
                <w:sz w:val="22"/>
                <w:szCs w:val="22"/>
                <w:lang w:val="en-GB"/>
              </w:rPr>
            </w:pPr>
            <w:r w:rsidRPr="00EE4A74">
              <w:rPr>
                <w:sz w:val="22"/>
                <w:szCs w:val="22"/>
                <w:lang w:val="en-GB"/>
              </w:rPr>
              <w:t>WMO also opposes any allocation in the 10.6-10.7 GHz frequency band. WMO requires that protection of sensors in the band 10.6-10.7 GHz be ensured from unwanted emissions of FSS systems.</w:t>
            </w:r>
          </w:p>
          <w:p w:rsidR="00D82060" w:rsidRPr="00EE4A74" w:rsidRDefault="00D82060" w:rsidP="00236E22">
            <w:pPr>
              <w:rPr>
                <w:sz w:val="22"/>
                <w:szCs w:val="22"/>
              </w:rPr>
            </w:pPr>
          </w:p>
        </w:tc>
        <w:tc>
          <w:tcPr>
            <w:tcW w:w="5670" w:type="dxa"/>
          </w:tcPr>
          <w:p w:rsidR="00D82060" w:rsidRPr="00EE4A74" w:rsidRDefault="00D82060" w:rsidP="00236E22">
            <w:pPr>
              <w:rPr>
                <w:b/>
                <w:sz w:val="22"/>
                <w:szCs w:val="22"/>
              </w:rPr>
            </w:pPr>
            <w:r w:rsidRPr="00EE4A74">
              <w:rPr>
                <w:b/>
                <w:sz w:val="22"/>
                <w:szCs w:val="22"/>
              </w:rPr>
              <w:t>AI 1.6.1:</w:t>
            </w:r>
          </w:p>
          <w:p w:rsidR="00D82060" w:rsidRPr="00EE4A74" w:rsidRDefault="00D82060" w:rsidP="00236E22">
            <w:pPr>
              <w:rPr>
                <w:sz w:val="22"/>
                <w:szCs w:val="22"/>
              </w:rPr>
            </w:pPr>
            <w:r w:rsidRPr="00EE4A74">
              <w:rPr>
                <w:sz w:val="22"/>
                <w:szCs w:val="22"/>
              </w:rPr>
              <w:t xml:space="preserve">- APT Members support ITU-R to conduct studies on Agenda Item </w:t>
            </w:r>
            <w:r w:rsidRPr="00EE4A74">
              <w:rPr>
                <w:b/>
                <w:bCs/>
                <w:sz w:val="22"/>
                <w:szCs w:val="22"/>
              </w:rPr>
              <w:t xml:space="preserve">1.6.1 </w:t>
            </w:r>
            <w:r w:rsidRPr="00EE4A74">
              <w:rPr>
                <w:sz w:val="22"/>
                <w:szCs w:val="22"/>
              </w:rPr>
              <w:t xml:space="preserve">in accordance with Resolutions </w:t>
            </w:r>
            <w:r w:rsidRPr="00EE4A74">
              <w:rPr>
                <w:b/>
                <w:bCs/>
                <w:sz w:val="22"/>
                <w:szCs w:val="22"/>
              </w:rPr>
              <w:t>151 (WRC-12)</w:t>
            </w:r>
            <w:r w:rsidRPr="00EE4A74">
              <w:rPr>
                <w:sz w:val="22"/>
                <w:szCs w:val="22"/>
              </w:rPr>
              <w:t xml:space="preserve">, while ensuring protection of existing primary services in the band(s). </w:t>
            </w:r>
          </w:p>
          <w:p w:rsidR="00D82060" w:rsidRPr="00EE4A74" w:rsidRDefault="00D82060" w:rsidP="00236E22">
            <w:pPr>
              <w:rPr>
                <w:sz w:val="22"/>
                <w:szCs w:val="22"/>
              </w:rPr>
            </w:pPr>
            <w:r w:rsidRPr="00EE4A74">
              <w:rPr>
                <w:sz w:val="22"/>
                <w:szCs w:val="22"/>
              </w:rPr>
              <w:t xml:space="preserve">- APT Members are of the view that, if consideration is given to use of the 14.5-14.8 GHz band, there is a need to take appropriate measures to ensure the integrity and adequate protection of the AP30A Plan and List from any new fixed-satellite service utilization of the bands. </w:t>
            </w:r>
          </w:p>
          <w:p w:rsidR="00D82060" w:rsidRPr="00EE4A74" w:rsidRDefault="00D82060" w:rsidP="00236E22">
            <w:pPr>
              <w:rPr>
                <w:color w:val="00B050"/>
                <w:sz w:val="22"/>
                <w:szCs w:val="22"/>
              </w:rPr>
            </w:pPr>
            <w:r w:rsidRPr="00EE4A74">
              <w:rPr>
                <w:color w:val="00B050"/>
                <w:sz w:val="22"/>
                <w:szCs w:val="22"/>
              </w:rPr>
              <w:t xml:space="preserve">- APT Members are of the view that, the bands 10.6-10.7 GHz and 13.25-13.75 GHz should be excluded from the candidate bands under Agenda item </w:t>
            </w:r>
            <w:r w:rsidRPr="00EE4A74">
              <w:rPr>
                <w:b/>
                <w:bCs/>
                <w:color w:val="00B050"/>
                <w:sz w:val="22"/>
                <w:szCs w:val="22"/>
              </w:rPr>
              <w:t xml:space="preserve">1.6.1 </w:t>
            </w:r>
            <w:r w:rsidRPr="00EE4A74">
              <w:rPr>
                <w:color w:val="00B050"/>
                <w:sz w:val="22"/>
                <w:szCs w:val="22"/>
              </w:rPr>
              <w:t xml:space="preserve">to protect the EESS (passive) and EESS (active) respectively. </w:t>
            </w:r>
          </w:p>
          <w:p w:rsidR="00D82060" w:rsidRPr="00EE4A74" w:rsidRDefault="00D82060" w:rsidP="00236E22">
            <w:pPr>
              <w:rPr>
                <w:b/>
                <w:sz w:val="22"/>
                <w:szCs w:val="22"/>
              </w:rPr>
            </w:pPr>
            <w:r w:rsidRPr="00EE4A74">
              <w:rPr>
                <w:b/>
                <w:sz w:val="22"/>
                <w:szCs w:val="22"/>
              </w:rPr>
              <w:t>AI 1.6.2:</w:t>
            </w:r>
          </w:p>
          <w:p w:rsidR="00D82060" w:rsidRPr="00EE4A74" w:rsidRDefault="00D82060" w:rsidP="00236E22">
            <w:pPr>
              <w:rPr>
                <w:sz w:val="22"/>
                <w:szCs w:val="22"/>
              </w:rPr>
            </w:pPr>
            <w:r w:rsidRPr="00EE4A74">
              <w:rPr>
                <w:sz w:val="22"/>
                <w:szCs w:val="22"/>
              </w:rPr>
              <w:t xml:space="preserve">- APT Members support ITU-R to conduct studies on Agenda Item </w:t>
            </w:r>
            <w:r w:rsidRPr="00EE4A74">
              <w:rPr>
                <w:b/>
                <w:bCs/>
                <w:sz w:val="22"/>
                <w:szCs w:val="22"/>
              </w:rPr>
              <w:t xml:space="preserve">1.6.2 </w:t>
            </w:r>
            <w:r w:rsidRPr="00EE4A74">
              <w:rPr>
                <w:sz w:val="22"/>
                <w:szCs w:val="22"/>
              </w:rPr>
              <w:t xml:space="preserve">in accordance with Resolutions </w:t>
            </w:r>
            <w:r w:rsidRPr="00EE4A74">
              <w:rPr>
                <w:b/>
                <w:bCs/>
                <w:sz w:val="22"/>
                <w:szCs w:val="22"/>
              </w:rPr>
              <w:t>152 (WRC-12)</w:t>
            </w:r>
            <w:r w:rsidRPr="00EE4A74">
              <w:rPr>
                <w:sz w:val="22"/>
                <w:szCs w:val="22"/>
              </w:rPr>
              <w:t xml:space="preserve">, while ensuring protection of existing primary services in the band(s). </w:t>
            </w:r>
          </w:p>
          <w:p w:rsidR="00D82060" w:rsidRPr="00EE4A74" w:rsidRDefault="00D82060" w:rsidP="00236E22">
            <w:pPr>
              <w:rPr>
                <w:sz w:val="22"/>
                <w:szCs w:val="22"/>
              </w:rPr>
            </w:pPr>
            <w:r w:rsidRPr="00EE4A74">
              <w:rPr>
                <w:sz w:val="22"/>
                <w:szCs w:val="22"/>
              </w:rPr>
              <w:t xml:space="preserve">- APT Members are of the view that, if consideration is given to use of the 14.5-14.8 GHz band, there is a necessity to take appropriate measures to ensure the integrity and adequate protection of the AP30A Plan and List from any new fixed-satellite service utilization of the bands. </w:t>
            </w:r>
          </w:p>
          <w:p w:rsidR="00D82060" w:rsidRDefault="00D82060" w:rsidP="00EE4A74">
            <w:pPr>
              <w:rPr>
                <w:color w:val="00B050"/>
                <w:sz w:val="22"/>
                <w:szCs w:val="22"/>
              </w:rPr>
            </w:pPr>
            <w:r w:rsidRPr="00EE4A74">
              <w:rPr>
                <w:color w:val="00B050"/>
                <w:sz w:val="22"/>
                <w:szCs w:val="22"/>
              </w:rPr>
              <w:t xml:space="preserve">- APT Members are of the view that the band 13.25-13.75 GHz should be excluded from the candidate bands under Agenda item </w:t>
            </w:r>
            <w:r w:rsidRPr="00EE4A74">
              <w:rPr>
                <w:b/>
                <w:bCs/>
                <w:color w:val="00B050"/>
                <w:sz w:val="22"/>
                <w:szCs w:val="22"/>
              </w:rPr>
              <w:t xml:space="preserve">1.6.2 </w:t>
            </w:r>
            <w:r w:rsidRPr="00EE4A74">
              <w:rPr>
                <w:color w:val="00B050"/>
                <w:sz w:val="22"/>
                <w:szCs w:val="22"/>
              </w:rPr>
              <w:t xml:space="preserve">to protect the EESS (active). </w:t>
            </w:r>
          </w:p>
          <w:p w:rsidR="00EE4A74" w:rsidRPr="00EE4A74" w:rsidRDefault="00EE4A74" w:rsidP="00EE4A74">
            <w:pPr>
              <w:rPr>
                <w:color w:val="00B050"/>
                <w:sz w:val="22"/>
                <w:szCs w:val="22"/>
              </w:rPr>
            </w:pPr>
          </w:p>
        </w:tc>
      </w:tr>
      <w:tr w:rsidR="00D82060" w:rsidTr="00236E22">
        <w:tc>
          <w:tcPr>
            <w:tcW w:w="817" w:type="dxa"/>
          </w:tcPr>
          <w:p w:rsidR="00D82060" w:rsidRPr="00EE4A74" w:rsidRDefault="00D82060" w:rsidP="00236E22">
            <w:pPr>
              <w:jc w:val="center"/>
              <w:rPr>
                <w:sz w:val="22"/>
                <w:szCs w:val="22"/>
              </w:rPr>
            </w:pPr>
            <w:r w:rsidRPr="00EE4A74">
              <w:rPr>
                <w:sz w:val="22"/>
                <w:szCs w:val="22"/>
              </w:rPr>
              <w:lastRenderedPageBreak/>
              <w:t>1.9.2</w:t>
            </w:r>
          </w:p>
          <w:p w:rsidR="00D82060" w:rsidRPr="00EE4A74" w:rsidRDefault="00D82060" w:rsidP="00236E22">
            <w:pPr>
              <w:jc w:val="center"/>
              <w:rPr>
                <w:color w:val="FF0000"/>
                <w:sz w:val="22"/>
                <w:szCs w:val="22"/>
              </w:rPr>
            </w:pPr>
          </w:p>
          <w:p w:rsidR="00D82060" w:rsidRPr="00EE4A74" w:rsidRDefault="00D82060" w:rsidP="00236E22">
            <w:pPr>
              <w:jc w:val="center"/>
              <w:rPr>
                <w:color w:val="000000" w:themeColor="text1"/>
                <w:sz w:val="22"/>
                <w:szCs w:val="22"/>
              </w:rPr>
            </w:pPr>
            <w:r w:rsidRPr="00EE4A74">
              <w:rPr>
                <w:color w:val="000000" w:themeColor="text1"/>
                <w:sz w:val="22"/>
                <w:szCs w:val="22"/>
              </w:rPr>
              <w:t>WP4C</w:t>
            </w:r>
          </w:p>
        </w:tc>
        <w:tc>
          <w:tcPr>
            <w:tcW w:w="4253" w:type="dxa"/>
          </w:tcPr>
          <w:p w:rsidR="00D82060" w:rsidRPr="00EE4A74" w:rsidRDefault="00D82060" w:rsidP="00236E22">
            <w:pPr>
              <w:rPr>
                <w:sz w:val="22"/>
                <w:szCs w:val="22"/>
              </w:rPr>
            </w:pPr>
            <w:proofErr w:type="gramStart"/>
            <w:r w:rsidRPr="00EE4A74">
              <w:rPr>
                <w:sz w:val="22"/>
                <w:szCs w:val="22"/>
              </w:rPr>
              <w:t>to</w:t>
            </w:r>
            <w:proofErr w:type="gramEnd"/>
            <w:r w:rsidRPr="00EE4A74">
              <w:rPr>
                <w:sz w:val="22"/>
                <w:szCs w:val="22"/>
              </w:rPr>
              <w:t xml:space="preserve"> consider, in accordance with Resolution </w:t>
            </w:r>
            <w:r w:rsidRPr="00EE4A74">
              <w:rPr>
                <w:bCs/>
                <w:sz w:val="22"/>
                <w:szCs w:val="22"/>
              </w:rPr>
              <w:t>758</w:t>
            </w:r>
            <w:r w:rsidRPr="00EE4A74">
              <w:rPr>
                <w:sz w:val="22"/>
                <w:szCs w:val="22"/>
              </w:rPr>
              <w:t> </w:t>
            </w:r>
            <w:r w:rsidRPr="00EE4A74">
              <w:rPr>
                <w:bCs/>
                <w:sz w:val="22"/>
                <w:szCs w:val="22"/>
              </w:rPr>
              <w:t>(WRC</w:t>
            </w:r>
            <w:r w:rsidRPr="00EE4A74">
              <w:rPr>
                <w:bCs/>
                <w:sz w:val="22"/>
                <w:szCs w:val="22"/>
              </w:rPr>
              <w:noBreakHyphen/>
              <w:t>12)</w:t>
            </w:r>
            <w:r w:rsidRPr="00EE4A74">
              <w:rPr>
                <w:sz w:val="22"/>
                <w:szCs w:val="22"/>
              </w:rPr>
              <w:t xml:space="preserve"> the possibility of allocating the bands 7 375-7 750 MHz and 8 025-8 400 MHz to the maritime-mobile satellite service and additional regulatory measures, depending on the results of appropriate studies</w:t>
            </w:r>
            <w:r w:rsidRPr="00EE4A74">
              <w:rPr>
                <w:bCs/>
                <w:sz w:val="22"/>
                <w:szCs w:val="22"/>
              </w:rPr>
              <w:t>.</w:t>
            </w:r>
          </w:p>
        </w:tc>
        <w:tc>
          <w:tcPr>
            <w:tcW w:w="4677" w:type="dxa"/>
          </w:tcPr>
          <w:p w:rsidR="00D82060" w:rsidRPr="00EE4A74" w:rsidRDefault="00D82060" w:rsidP="00236E22">
            <w:pPr>
              <w:rPr>
                <w:sz w:val="22"/>
                <w:szCs w:val="22"/>
                <w:lang w:val="en-GB"/>
              </w:rPr>
            </w:pPr>
            <w:r w:rsidRPr="00EE4A74">
              <w:rPr>
                <w:sz w:val="22"/>
                <w:szCs w:val="22"/>
                <w:lang w:val="en-GB"/>
              </w:rPr>
              <w:t>WMO considers that no new allocations to the MMSS should be made in these frequency bands unless acceptable sharing criteria with EESS and MetSat are developed. Particular concern is noted with regard to potential interference to EESS (space-to-Earth) operations in 8 025-8 400 MHz at high latitudes from ships operating in proximity.</w:t>
            </w:r>
          </w:p>
        </w:tc>
        <w:tc>
          <w:tcPr>
            <w:tcW w:w="5670" w:type="dxa"/>
          </w:tcPr>
          <w:p w:rsidR="00D82060" w:rsidRPr="00EE4A74" w:rsidRDefault="00D82060" w:rsidP="00236E22">
            <w:pPr>
              <w:rPr>
                <w:sz w:val="22"/>
                <w:szCs w:val="22"/>
              </w:rPr>
            </w:pPr>
            <w:r w:rsidRPr="00EE4A74">
              <w:rPr>
                <w:sz w:val="22"/>
                <w:szCs w:val="22"/>
              </w:rPr>
              <w:t xml:space="preserve">- APT members support the ITU-R technical and regulatory studies for possible new allocations of maritime-mobile satellite service (MMSS) in the 7/8 GHz bands, while ensuring compatibility with existing services and their future development in these bands and no undue constraints should be placed on existing services. </w:t>
            </w:r>
          </w:p>
          <w:p w:rsidR="00D82060" w:rsidRPr="00EE4A74" w:rsidRDefault="00D82060" w:rsidP="00236E22">
            <w:pPr>
              <w:rPr>
                <w:sz w:val="22"/>
                <w:szCs w:val="22"/>
              </w:rPr>
            </w:pPr>
            <w:r w:rsidRPr="00EE4A74">
              <w:rPr>
                <w:sz w:val="22"/>
                <w:szCs w:val="22"/>
              </w:rPr>
              <w:t xml:space="preserve">- APT members are also of the view that the pfd limits for a space station of FSS in the band 7375-7750 MHz (space-to-Earth) shown in Table </w:t>
            </w:r>
            <w:r w:rsidRPr="00EE4A74">
              <w:rPr>
                <w:b/>
                <w:bCs/>
                <w:sz w:val="22"/>
                <w:szCs w:val="22"/>
              </w:rPr>
              <w:t xml:space="preserve">21-4 </w:t>
            </w:r>
            <w:r w:rsidRPr="00EE4A74">
              <w:rPr>
                <w:sz w:val="22"/>
                <w:szCs w:val="22"/>
              </w:rPr>
              <w:t xml:space="preserve">of Article </w:t>
            </w:r>
            <w:r w:rsidRPr="00EE4A74">
              <w:rPr>
                <w:b/>
                <w:bCs/>
                <w:sz w:val="22"/>
                <w:szCs w:val="22"/>
              </w:rPr>
              <w:t xml:space="preserve">21 </w:t>
            </w:r>
            <w:r w:rsidRPr="00EE4A74">
              <w:rPr>
                <w:sz w:val="22"/>
                <w:szCs w:val="22"/>
              </w:rPr>
              <w:t xml:space="preserve">of the Radio Regulations could also be applicable to a space station of MMSS. This would be the case if ITU-R studies indicate that the interference level from a space station in MMSS into a station in terrestrial services does not exceed that from a space station in FSS into a terrestrial station. </w:t>
            </w:r>
          </w:p>
        </w:tc>
      </w:tr>
      <w:tr w:rsidR="00D82060" w:rsidTr="00236E22">
        <w:tc>
          <w:tcPr>
            <w:tcW w:w="817" w:type="dxa"/>
          </w:tcPr>
          <w:p w:rsidR="00D82060" w:rsidRPr="00EE4A74" w:rsidRDefault="00D82060" w:rsidP="00236E22">
            <w:pPr>
              <w:jc w:val="center"/>
              <w:rPr>
                <w:sz w:val="22"/>
                <w:szCs w:val="22"/>
              </w:rPr>
            </w:pPr>
            <w:r w:rsidRPr="00EE4A74">
              <w:rPr>
                <w:sz w:val="22"/>
                <w:szCs w:val="22"/>
              </w:rPr>
              <w:t>1.10</w:t>
            </w:r>
          </w:p>
          <w:p w:rsidR="00D82060" w:rsidRPr="00EE4A74" w:rsidRDefault="00D82060" w:rsidP="00236E22">
            <w:pPr>
              <w:jc w:val="center"/>
              <w:rPr>
                <w:sz w:val="22"/>
                <w:szCs w:val="22"/>
              </w:rPr>
            </w:pPr>
          </w:p>
          <w:p w:rsidR="00D82060" w:rsidRPr="00EE4A74" w:rsidRDefault="00D82060" w:rsidP="00236E22">
            <w:pPr>
              <w:jc w:val="center"/>
              <w:rPr>
                <w:color w:val="000000" w:themeColor="text1"/>
                <w:sz w:val="22"/>
                <w:szCs w:val="22"/>
              </w:rPr>
            </w:pPr>
            <w:r w:rsidRPr="00EE4A74">
              <w:rPr>
                <w:color w:val="000000" w:themeColor="text1"/>
                <w:sz w:val="22"/>
                <w:szCs w:val="22"/>
              </w:rPr>
              <w:t>WP4C</w:t>
            </w:r>
          </w:p>
        </w:tc>
        <w:tc>
          <w:tcPr>
            <w:tcW w:w="4253" w:type="dxa"/>
          </w:tcPr>
          <w:p w:rsidR="00D82060" w:rsidRPr="00EE4A74" w:rsidRDefault="00D82060" w:rsidP="00236E22">
            <w:pPr>
              <w:tabs>
                <w:tab w:val="left" w:pos="3480"/>
              </w:tabs>
              <w:rPr>
                <w:sz w:val="22"/>
                <w:szCs w:val="22"/>
                <w:lang w:val="en-GB"/>
              </w:rPr>
            </w:pPr>
            <w:proofErr w:type="gramStart"/>
            <w:r w:rsidRPr="00EE4A74">
              <w:rPr>
                <w:sz w:val="22"/>
                <w:szCs w:val="22"/>
              </w:rPr>
              <w:t>to</w:t>
            </w:r>
            <w:proofErr w:type="gramEnd"/>
            <w:r w:rsidRPr="00EE4A74">
              <w:rPr>
                <w:sz w:val="22"/>
                <w:szCs w:val="22"/>
              </w:rPr>
              <w:t xml:space="preserve">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234 (WRC</w:t>
            </w:r>
            <w:r w:rsidRPr="00EE4A74">
              <w:rPr>
                <w:sz w:val="22"/>
                <w:szCs w:val="22"/>
              </w:rPr>
              <w:noBreakHyphen/>
              <w:t>12).</w:t>
            </w:r>
          </w:p>
        </w:tc>
        <w:tc>
          <w:tcPr>
            <w:tcW w:w="4677" w:type="dxa"/>
          </w:tcPr>
          <w:p w:rsidR="00D82060" w:rsidRPr="00EE4A74" w:rsidRDefault="00D82060" w:rsidP="00236E22">
            <w:pPr>
              <w:rPr>
                <w:sz w:val="22"/>
                <w:szCs w:val="22"/>
                <w:lang w:val="en-GB"/>
              </w:rPr>
            </w:pPr>
            <w:r w:rsidRPr="00EE4A74">
              <w:rPr>
                <w:sz w:val="22"/>
                <w:szCs w:val="22"/>
                <w:lang w:val="en-GB"/>
              </w:rPr>
              <w:t>WMO opposes new MSS allocations in the 23.6-24 GHz and 25.5–26.0 GHz frequency ranges. Allocations to MSS in other portions of the 22-26 GHz frequency range will have to be associated with the adequate protection of EESS applications from emissions of MSS systems.</w:t>
            </w:r>
          </w:p>
          <w:p w:rsidR="00D82060" w:rsidRPr="00EE4A74" w:rsidRDefault="00D82060" w:rsidP="00236E22">
            <w:pPr>
              <w:rPr>
                <w:sz w:val="22"/>
                <w:szCs w:val="22"/>
              </w:rPr>
            </w:pPr>
          </w:p>
        </w:tc>
        <w:tc>
          <w:tcPr>
            <w:tcW w:w="5670" w:type="dxa"/>
          </w:tcPr>
          <w:p w:rsidR="00D82060" w:rsidRPr="00EE4A74" w:rsidRDefault="00D82060" w:rsidP="00236E22">
            <w:pPr>
              <w:rPr>
                <w:sz w:val="22"/>
                <w:szCs w:val="22"/>
              </w:rPr>
            </w:pPr>
            <w:r w:rsidRPr="00EE4A74">
              <w:rPr>
                <w:sz w:val="22"/>
                <w:szCs w:val="22"/>
              </w:rPr>
              <w:t xml:space="preserve">- The APT Members are of the view that the frequency requirements for the 22-26 GHz band should be clearly identified for the potential MSS allocation taking into account current allocations for MSS above 19 GHz. The requirements and additional allocations should be based on the compatibility studies in order to adequately protect the existing services and their future developments. </w:t>
            </w:r>
          </w:p>
          <w:p w:rsidR="00D82060" w:rsidRPr="00EE4A74" w:rsidRDefault="00D82060" w:rsidP="00236E22">
            <w:pPr>
              <w:rPr>
                <w:sz w:val="22"/>
                <w:szCs w:val="22"/>
              </w:rPr>
            </w:pPr>
          </w:p>
          <w:p w:rsidR="00D82060" w:rsidRPr="00EE4A74" w:rsidRDefault="00D82060" w:rsidP="00236E22">
            <w:pPr>
              <w:rPr>
                <w:sz w:val="22"/>
                <w:szCs w:val="22"/>
              </w:rPr>
            </w:pPr>
          </w:p>
          <w:p w:rsidR="00D82060" w:rsidRPr="00EE4A74" w:rsidRDefault="00D82060" w:rsidP="00236E22">
            <w:pPr>
              <w:rPr>
                <w:sz w:val="22"/>
                <w:szCs w:val="22"/>
              </w:rPr>
            </w:pPr>
          </w:p>
          <w:p w:rsidR="00D82060" w:rsidRPr="00EE4A74" w:rsidRDefault="00D82060" w:rsidP="00236E22">
            <w:pPr>
              <w:rPr>
                <w:sz w:val="22"/>
                <w:szCs w:val="22"/>
              </w:rPr>
            </w:pPr>
          </w:p>
          <w:p w:rsidR="00D82060" w:rsidRPr="00EE4A74" w:rsidRDefault="00D82060" w:rsidP="00236E22">
            <w:pPr>
              <w:rPr>
                <w:sz w:val="22"/>
                <w:szCs w:val="22"/>
              </w:rPr>
            </w:pPr>
          </w:p>
          <w:p w:rsidR="00D82060" w:rsidRPr="00EE4A74" w:rsidRDefault="00D82060" w:rsidP="00236E22">
            <w:pPr>
              <w:rPr>
                <w:sz w:val="22"/>
                <w:szCs w:val="22"/>
              </w:rPr>
            </w:pPr>
          </w:p>
          <w:p w:rsidR="00D82060" w:rsidRPr="00EE4A74" w:rsidRDefault="00D82060" w:rsidP="00236E22">
            <w:pPr>
              <w:rPr>
                <w:sz w:val="22"/>
                <w:szCs w:val="22"/>
              </w:rPr>
            </w:pPr>
          </w:p>
        </w:tc>
      </w:tr>
      <w:tr w:rsidR="00D82060" w:rsidTr="00236E22">
        <w:tc>
          <w:tcPr>
            <w:tcW w:w="817" w:type="dxa"/>
          </w:tcPr>
          <w:p w:rsidR="00D82060" w:rsidRPr="00EE4A74" w:rsidRDefault="00D82060" w:rsidP="00236E22">
            <w:pPr>
              <w:jc w:val="center"/>
              <w:rPr>
                <w:sz w:val="22"/>
                <w:szCs w:val="22"/>
              </w:rPr>
            </w:pPr>
            <w:r w:rsidRPr="00EE4A74">
              <w:rPr>
                <w:sz w:val="22"/>
                <w:szCs w:val="22"/>
              </w:rPr>
              <w:lastRenderedPageBreak/>
              <w:t>1.11</w:t>
            </w:r>
          </w:p>
          <w:p w:rsidR="00D82060" w:rsidRPr="00EE4A74" w:rsidRDefault="00D82060" w:rsidP="00236E22">
            <w:pPr>
              <w:jc w:val="center"/>
              <w:rPr>
                <w:sz w:val="22"/>
                <w:szCs w:val="22"/>
              </w:rPr>
            </w:pPr>
          </w:p>
          <w:p w:rsidR="00D82060" w:rsidRPr="00EE4A74" w:rsidRDefault="00D82060" w:rsidP="00236E22">
            <w:pPr>
              <w:jc w:val="center"/>
              <w:rPr>
                <w:color w:val="000000" w:themeColor="text1"/>
                <w:sz w:val="22"/>
                <w:szCs w:val="22"/>
              </w:rPr>
            </w:pPr>
            <w:r w:rsidRPr="00EE4A74">
              <w:rPr>
                <w:color w:val="000000" w:themeColor="text1"/>
                <w:sz w:val="22"/>
                <w:szCs w:val="22"/>
              </w:rPr>
              <w:t>WP7B</w:t>
            </w:r>
          </w:p>
        </w:tc>
        <w:tc>
          <w:tcPr>
            <w:tcW w:w="4253" w:type="dxa"/>
          </w:tcPr>
          <w:p w:rsidR="00D82060" w:rsidRPr="00EE4A74" w:rsidRDefault="00D82060" w:rsidP="00236E22">
            <w:pPr>
              <w:rPr>
                <w:sz w:val="22"/>
                <w:szCs w:val="22"/>
              </w:rPr>
            </w:pPr>
            <w:proofErr w:type="gramStart"/>
            <w:r w:rsidRPr="00EE4A74">
              <w:rPr>
                <w:sz w:val="22"/>
                <w:szCs w:val="22"/>
              </w:rPr>
              <w:t>to</w:t>
            </w:r>
            <w:proofErr w:type="gramEnd"/>
            <w:r w:rsidRPr="00EE4A74">
              <w:rPr>
                <w:sz w:val="22"/>
                <w:szCs w:val="22"/>
              </w:rPr>
              <w:t xml:space="preserve"> consider a primary allocation for the</w:t>
            </w:r>
            <w:r w:rsidRPr="00EE4A74">
              <w:rPr>
                <w:b/>
                <w:sz w:val="22"/>
                <w:szCs w:val="22"/>
              </w:rPr>
              <w:t xml:space="preserve"> </w:t>
            </w:r>
            <w:r w:rsidRPr="00EE4A74">
              <w:rPr>
                <w:sz w:val="22"/>
                <w:szCs w:val="22"/>
              </w:rPr>
              <w:t>Earth exploration-satellite service (Earth-to-space) in the 7-8 GHz range, in accordance with</w:t>
            </w:r>
            <w:r w:rsidRPr="00EE4A74">
              <w:rPr>
                <w:bCs/>
                <w:sz w:val="22"/>
                <w:szCs w:val="22"/>
              </w:rPr>
              <w:t xml:space="preserve"> </w:t>
            </w:r>
            <w:r w:rsidRPr="00EE4A74">
              <w:rPr>
                <w:sz w:val="22"/>
                <w:szCs w:val="22"/>
              </w:rPr>
              <w:t>Resolution </w:t>
            </w:r>
            <w:r w:rsidRPr="00EE4A74">
              <w:rPr>
                <w:bCs/>
                <w:sz w:val="22"/>
                <w:szCs w:val="22"/>
              </w:rPr>
              <w:t>650</w:t>
            </w:r>
            <w:r w:rsidRPr="00EE4A74">
              <w:rPr>
                <w:sz w:val="22"/>
                <w:szCs w:val="22"/>
              </w:rPr>
              <w:t> (WRC</w:t>
            </w:r>
            <w:r w:rsidRPr="00EE4A74">
              <w:rPr>
                <w:sz w:val="22"/>
                <w:szCs w:val="22"/>
              </w:rPr>
              <w:noBreakHyphen/>
              <w:t>12).</w:t>
            </w:r>
          </w:p>
        </w:tc>
        <w:tc>
          <w:tcPr>
            <w:tcW w:w="4677" w:type="dxa"/>
          </w:tcPr>
          <w:p w:rsidR="00D82060" w:rsidRPr="00EE4A74" w:rsidRDefault="00D82060" w:rsidP="00236E22">
            <w:pPr>
              <w:rPr>
                <w:bCs/>
                <w:sz w:val="22"/>
                <w:szCs w:val="22"/>
                <w:lang w:val="en-GB"/>
              </w:rPr>
            </w:pPr>
            <w:r w:rsidRPr="00EE4A74">
              <w:rPr>
                <w:bCs/>
                <w:sz w:val="22"/>
                <w:szCs w:val="22"/>
                <w:lang w:val="en-GB"/>
              </w:rPr>
              <w:t>WMO supports a new EESS (Earth-to-space) allocation in the 7-8 GHz frequency band, provided that compatibility with meteorological-satellite systems operating in the bands 7 450-7 550 MHz and 7 750-7 900 MHz is ensured.</w:t>
            </w:r>
          </w:p>
          <w:p w:rsidR="00D82060" w:rsidRPr="00EE4A74" w:rsidRDefault="00D82060" w:rsidP="00236E22">
            <w:pPr>
              <w:rPr>
                <w:b/>
                <w:bCs/>
                <w:sz w:val="22"/>
                <w:szCs w:val="22"/>
              </w:rPr>
            </w:pPr>
          </w:p>
        </w:tc>
        <w:tc>
          <w:tcPr>
            <w:tcW w:w="5670" w:type="dxa"/>
          </w:tcPr>
          <w:p w:rsidR="00D82060" w:rsidRPr="00EE4A74" w:rsidRDefault="00D82060" w:rsidP="00236E22">
            <w:pPr>
              <w:rPr>
                <w:bCs/>
                <w:sz w:val="22"/>
                <w:szCs w:val="22"/>
              </w:rPr>
            </w:pPr>
            <w:r w:rsidRPr="00EE4A74">
              <w:rPr>
                <w:bCs/>
                <w:sz w:val="22"/>
                <w:szCs w:val="22"/>
              </w:rPr>
              <w:t>- APT Members support the current sharing studies in the ITU-R in accordance with Resolution 650 (WRC-12</w:t>
            </w:r>
            <w:proofErr w:type="gramStart"/>
            <w:r w:rsidRPr="00EE4A74">
              <w:rPr>
                <w:bCs/>
                <w:sz w:val="22"/>
                <w:szCs w:val="22"/>
              </w:rPr>
              <w:t>) .</w:t>
            </w:r>
            <w:proofErr w:type="gramEnd"/>
            <w:r w:rsidRPr="00EE4A74">
              <w:rPr>
                <w:bCs/>
                <w:sz w:val="22"/>
                <w:szCs w:val="22"/>
              </w:rPr>
              <w:t xml:space="preserve"> </w:t>
            </w:r>
          </w:p>
          <w:p w:rsidR="00D82060" w:rsidRPr="00EE4A74" w:rsidRDefault="00D82060" w:rsidP="00236E22">
            <w:pPr>
              <w:rPr>
                <w:bCs/>
                <w:sz w:val="22"/>
                <w:szCs w:val="22"/>
              </w:rPr>
            </w:pPr>
            <w:r w:rsidRPr="00EE4A74">
              <w:rPr>
                <w:bCs/>
                <w:sz w:val="22"/>
                <w:szCs w:val="22"/>
              </w:rPr>
              <w:t xml:space="preserve">- APT Members are of the view that the band 7 145-7190 MHz (deep-space SRS band) should be excluded for further considerations under this agenda item taking into account the current study results of the ITU-R WP7B. </w:t>
            </w:r>
          </w:p>
          <w:p w:rsidR="00D82060" w:rsidRPr="00EE4A74" w:rsidRDefault="00D82060" w:rsidP="00236E22">
            <w:pPr>
              <w:rPr>
                <w:bCs/>
                <w:sz w:val="22"/>
                <w:szCs w:val="22"/>
                <w:lang w:val="en-AU"/>
              </w:rPr>
            </w:pPr>
            <w:r w:rsidRPr="00EE4A74">
              <w:rPr>
                <w:bCs/>
                <w:sz w:val="22"/>
                <w:szCs w:val="22"/>
              </w:rPr>
              <w:t xml:space="preserve">- APT Members are also of the view that the existing services in this band should be adequately protected from potential interference due to the possible new allocation to the Earth exploration-satellite service (Earth-to-space), in accordance with resolution 650, and no constraints are placed on these services. </w:t>
            </w:r>
          </w:p>
        </w:tc>
      </w:tr>
      <w:tr w:rsidR="00D82060" w:rsidTr="00236E22">
        <w:tc>
          <w:tcPr>
            <w:tcW w:w="817" w:type="dxa"/>
          </w:tcPr>
          <w:p w:rsidR="00D82060" w:rsidRPr="00EE4A74" w:rsidRDefault="00D82060" w:rsidP="00236E22">
            <w:pPr>
              <w:jc w:val="center"/>
              <w:rPr>
                <w:sz w:val="22"/>
                <w:szCs w:val="22"/>
              </w:rPr>
            </w:pPr>
            <w:r w:rsidRPr="00EE4A74">
              <w:rPr>
                <w:sz w:val="22"/>
                <w:szCs w:val="22"/>
              </w:rPr>
              <w:t>1.12</w:t>
            </w:r>
          </w:p>
          <w:p w:rsidR="00D82060" w:rsidRPr="00EE4A74" w:rsidRDefault="00D82060" w:rsidP="00236E22">
            <w:pPr>
              <w:jc w:val="center"/>
              <w:rPr>
                <w:sz w:val="22"/>
                <w:szCs w:val="22"/>
              </w:rPr>
            </w:pPr>
          </w:p>
          <w:p w:rsidR="00D82060" w:rsidRPr="00EE4A74" w:rsidRDefault="00D82060" w:rsidP="00236E22">
            <w:pPr>
              <w:jc w:val="center"/>
              <w:rPr>
                <w:color w:val="000000" w:themeColor="text1"/>
                <w:sz w:val="22"/>
                <w:szCs w:val="22"/>
              </w:rPr>
            </w:pPr>
            <w:r w:rsidRPr="00EE4A74">
              <w:rPr>
                <w:color w:val="000000" w:themeColor="text1"/>
                <w:sz w:val="22"/>
                <w:szCs w:val="22"/>
              </w:rPr>
              <w:t>WP7C</w:t>
            </w:r>
          </w:p>
        </w:tc>
        <w:tc>
          <w:tcPr>
            <w:tcW w:w="4253" w:type="dxa"/>
          </w:tcPr>
          <w:p w:rsidR="00D82060" w:rsidRPr="00EE4A74" w:rsidRDefault="00D82060" w:rsidP="00236E22">
            <w:pPr>
              <w:rPr>
                <w:sz w:val="22"/>
                <w:szCs w:val="22"/>
              </w:rPr>
            </w:pPr>
            <w:proofErr w:type="gramStart"/>
            <w:r w:rsidRPr="00EE4A74">
              <w:rPr>
                <w:sz w:val="22"/>
                <w:szCs w:val="22"/>
              </w:rPr>
              <w:t>to</w:t>
            </w:r>
            <w:proofErr w:type="gramEnd"/>
            <w:r w:rsidRPr="00EE4A74">
              <w:rPr>
                <w:sz w:val="22"/>
                <w:szCs w:val="22"/>
              </w:rPr>
              <w:t xml:space="preserve"> consider an extension of the current worldwide allocation to the Earth exploration-satellite (active) service in the frequency band 9 300-9 900 MHz by up to 600 MHz within the frequency bands 8 700-9 300 MHz and/or 9 900-10 500 MHz, in accordance with Resolution </w:t>
            </w:r>
            <w:r w:rsidRPr="00EE4A74">
              <w:rPr>
                <w:bCs/>
                <w:sz w:val="22"/>
                <w:szCs w:val="22"/>
              </w:rPr>
              <w:t>651</w:t>
            </w:r>
            <w:r w:rsidRPr="00EE4A74">
              <w:rPr>
                <w:sz w:val="22"/>
                <w:szCs w:val="22"/>
              </w:rPr>
              <w:t> </w:t>
            </w:r>
            <w:r w:rsidRPr="00EE4A74">
              <w:rPr>
                <w:bCs/>
                <w:sz w:val="22"/>
                <w:szCs w:val="22"/>
              </w:rPr>
              <w:t>(WRC</w:t>
            </w:r>
            <w:r w:rsidRPr="00EE4A74">
              <w:rPr>
                <w:bCs/>
                <w:sz w:val="22"/>
                <w:szCs w:val="22"/>
              </w:rPr>
              <w:noBreakHyphen/>
              <w:t>12)</w:t>
            </w:r>
            <w:r w:rsidRPr="00EE4A74">
              <w:rPr>
                <w:sz w:val="22"/>
                <w:szCs w:val="22"/>
              </w:rPr>
              <w:t>.</w:t>
            </w:r>
          </w:p>
        </w:tc>
        <w:tc>
          <w:tcPr>
            <w:tcW w:w="4677" w:type="dxa"/>
          </w:tcPr>
          <w:p w:rsidR="00D82060" w:rsidRPr="00EE4A74" w:rsidRDefault="00D82060" w:rsidP="00236E22">
            <w:pPr>
              <w:rPr>
                <w:sz w:val="22"/>
                <w:szCs w:val="22"/>
              </w:rPr>
            </w:pPr>
            <w:r w:rsidRPr="00EE4A74">
              <w:rPr>
                <w:sz w:val="22"/>
                <w:szCs w:val="22"/>
              </w:rPr>
              <w:t>WMO urges that a new EESS (Earth-to-space) allocation in the 9 GHz frequency range shall ensure adequate protection of meteorological applications, in particular, meteorological radars in the frequency band 9 300-9 500 MHz and passive sensors in the frequency band 10.6-10.7 GHz.</w:t>
            </w:r>
          </w:p>
          <w:p w:rsidR="00D82060" w:rsidRPr="00EE4A74" w:rsidRDefault="00D82060" w:rsidP="00236E22">
            <w:pPr>
              <w:rPr>
                <w:sz w:val="22"/>
                <w:szCs w:val="22"/>
              </w:rPr>
            </w:pPr>
          </w:p>
        </w:tc>
        <w:tc>
          <w:tcPr>
            <w:tcW w:w="5670" w:type="dxa"/>
          </w:tcPr>
          <w:p w:rsidR="00D82060" w:rsidRPr="00EE4A74" w:rsidRDefault="00D82060" w:rsidP="00236E22">
            <w:pPr>
              <w:rPr>
                <w:sz w:val="22"/>
                <w:szCs w:val="22"/>
              </w:rPr>
            </w:pPr>
            <w:r w:rsidRPr="00EE4A74">
              <w:rPr>
                <w:sz w:val="22"/>
                <w:szCs w:val="22"/>
              </w:rPr>
              <w:t xml:space="preserve">- APT members support current ITU-R studies concerning the sharing and compatibility issues for the extension of EESS (active) spectrum. </w:t>
            </w:r>
          </w:p>
          <w:p w:rsidR="00D82060" w:rsidRPr="00EE4A74" w:rsidRDefault="00D82060" w:rsidP="00236E22">
            <w:pPr>
              <w:rPr>
                <w:sz w:val="22"/>
                <w:szCs w:val="22"/>
              </w:rPr>
            </w:pPr>
            <w:r w:rsidRPr="00EE4A74">
              <w:rPr>
                <w:sz w:val="22"/>
                <w:szCs w:val="22"/>
              </w:rPr>
              <w:t xml:space="preserve">- Appropriate protection of the existing services currently allocated in the same frequency bands should be ensured according to the Radio Regulations. </w:t>
            </w:r>
          </w:p>
          <w:p w:rsidR="00D82060" w:rsidRPr="00EE4A74" w:rsidRDefault="00D82060" w:rsidP="00236E22">
            <w:pPr>
              <w:rPr>
                <w:sz w:val="22"/>
                <w:szCs w:val="22"/>
              </w:rPr>
            </w:pPr>
            <w:r w:rsidRPr="00EE4A74">
              <w:rPr>
                <w:sz w:val="22"/>
                <w:szCs w:val="22"/>
              </w:rPr>
              <w:t xml:space="preserve">- Protection of services in adjacent frequency bands should be ensured. </w:t>
            </w:r>
          </w:p>
        </w:tc>
      </w:tr>
      <w:tr w:rsidR="00D82060" w:rsidTr="00236E22">
        <w:tc>
          <w:tcPr>
            <w:tcW w:w="817" w:type="dxa"/>
          </w:tcPr>
          <w:p w:rsidR="00D82060" w:rsidRPr="00EE4A74" w:rsidRDefault="00D82060" w:rsidP="00236E22">
            <w:pPr>
              <w:jc w:val="center"/>
              <w:rPr>
                <w:sz w:val="22"/>
                <w:szCs w:val="22"/>
              </w:rPr>
            </w:pPr>
            <w:r w:rsidRPr="00EE4A74">
              <w:rPr>
                <w:sz w:val="22"/>
                <w:szCs w:val="22"/>
              </w:rPr>
              <w:t>1.17</w:t>
            </w:r>
          </w:p>
          <w:p w:rsidR="00D82060" w:rsidRPr="00EE4A74" w:rsidRDefault="00D82060" w:rsidP="00236E22">
            <w:pPr>
              <w:jc w:val="center"/>
              <w:rPr>
                <w:sz w:val="22"/>
                <w:szCs w:val="22"/>
              </w:rPr>
            </w:pPr>
          </w:p>
          <w:p w:rsidR="00D82060" w:rsidRPr="00EE4A74" w:rsidRDefault="00D82060" w:rsidP="00236E22">
            <w:pPr>
              <w:jc w:val="center"/>
              <w:rPr>
                <w:color w:val="000000" w:themeColor="text1"/>
                <w:sz w:val="22"/>
                <w:szCs w:val="22"/>
              </w:rPr>
            </w:pPr>
            <w:r w:rsidRPr="00EE4A74">
              <w:rPr>
                <w:color w:val="000000" w:themeColor="text1"/>
                <w:sz w:val="22"/>
                <w:szCs w:val="22"/>
              </w:rPr>
              <w:t>WP5B</w:t>
            </w:r>
          </w:p>
        </w:tc>
        <w:tc>
          <w:tcPr>
            <w:tcW w:w="4253" w:type="dxa"/>
          </w:tcPr>
          <w:p w:rsidR="00D82060" w:rsidRPr="00EE4A74" w:rsidRDefault="00D82060" w:rsidP="00236E22">
            <w:pPr>
              <w:tabs>
                <w:tab w:val="left" w:pos="1755"/>
              </w:tabs>
              <w:rPr>
                <w:sz w:val="22"/>
                <w:szCs w:val="22"/>
              </w:rPr>
            </w:pPr>
            <w:proofErr w:type="gramStart"/>
            <w:r w:rsidRPr="00EE4A74">
              <w:rPr>
                <w:sz w:val="22"/>
                <w:szCs w:val="22"/>
              </w:rPr>
              <w:t>to</w:t>
            </w:r>
            <w:proofErr w:type="gramEnd"/>
            <w:r w:rsidRPr="00EE4A74">
              <w:rPr>
                <w:sz w:val="22"/>
                <w:szCs w:val="22"/>
              </w:rPr>
              <w:t xml:space="preserve"> consider possible spectrum requirements and regulatory actions, including appropriate aeronautical allocations, to support wireless avionics intra-communications (WAIC), in accordance with</w:t>
            </w:r>
            <w:r w:rsidRPr="00EE4A74">
              <w:rPr>
                <w:bCs/>
                <w:sz w:val="22"/>
                <w:szCs w:val="22"/>
              </w:rPr>
              <w:t xml:space="preserve"> </w:t>
            </w:r>
            <w:r w:rsidRPr="00EE4A74">
              <w:rPr>
                <w:sz w:val="22"/>
                <w:szCs w:val="22"/>
              </w:rPr>
              <w:t>Resolution</w:t>
            </w:r>
            <w:r w:rsidRPr="00EE4A74">
              <w:rPr>
                <w:bCs/>
                <w:sz w:val="22"/>
                <w:szCs w:val="22"/>
              </w:rPr>
              <w:t> 423</w:t>
            </w:r>
            <w:r w:rsidRPr="00EE4A74">
              <w:rPr>
                <w:sz w:val="22"/>
                <w:szCs w:val="22"/>
              </w:rPr>
              <w:t> </w:t>
            </w:r>
            <w:r w:rsidRPr="00EE4A74">
              <w:rPr>
                <w:bCs/>
                <w:sz w:val="22"/>
                <w:szCs w:val="22"/>
              </w:rPr>
              <w:t>(WRC</w:t>
            </w:r>
            <w:r w:rsidRPr="00EE4A74">
              <w:rPr>
                <w:bCs/>
                <w:sz w:val="22"/>
                <w:szCs w:val="22"/>
              </w:rPr>
              <w:noBreakHyphen/>
              <w:t>12)</w:t>
            </w:r>
            <w:r w:rsidRPr="00EE4A74">
              <w:rPr>
                <w:sz w:val="22"/>
                <w:szCs w:val="22"/>
              </w:rPr>
              <w:t>.</w:t>
            </w:r>
          </w:p>
        </w:tc>
        <w:tc>
          <w:tcPr>
            <w:tcW w:w="4677" w:type="dxa"/>
          </w:tcPr>
          <w:p w:rsidR="00D82060" w:rsidRPr="00EE4A74" w:rsidRDefault="00D82060" w:rsidP="00EC7D65">
            <w:pPr>
              <w:rPr>
                <w:sz w:val="22"/>
                <w:szCs w:val="22"/>
              </w:rPr>
            </w:pPr>
            <w:r w:rsidRPr="00EE4A74">
              <w:rPr>
                <w:sz w:val="22"/>
                <w:szCs w:val="22"/>
              </w:rPr>
              <w:t>WMO opposes to the use of the 2 700-2 900 MHz and 5 350-5 460 MHz frequency bands for WAIC based on the previous studies in the frequency band 5 600-5 650 MHz, which concluded that mobile applications on board aircraft are not compatible with meteorological radars.</w:t>
            </w:r>
            <w:r w:rsidR="00FD4D9D">
              <w:rPr>
                <w:sz w:val="22"/>
                <w:szCs w:val="22"/>
              </w:rPr>
              <w:t xml:space="preserve"> </w:t>
            </w:r>
            <w:r w:rsidRPr="00EE4A74">
              <w:rPr>
                <w:sz w:val="22"/>
                <w:szCs w:val="22"/>
              </w:rPr>
              <w:t xml:space="preserve">For other frequency bands considered for WAIC (e.g. the frequency band </w:t>
            </w:r>
            <w:r w:rsidRPr="00EE4A74">
              <w:rPr>
                <w:bCs/>
                <w:sz w:val="22"/>
                <w:szCs w:val="22"/>
              </w:rPr>
              <w:t>13.25-13.4</w:t>
            </w:r>
            <w:r w:rsidRPr="00EE4A74">
              <w:rPr>
                <w:sz w:val="22"/>
                <w:szCs w:val="22"/>
              </w:rPr>
              <w:t> </w:t>
            </w:r>
            <w:r w:rsidRPr="00EE4A74">
              <w:rPr>
                <w:bCs/>
                <w:sz w:val="22"/>
                <w:szCs w:val="22"/>
              </w:rPr>
              <w:t>GHz or frequency bands above 15.</w:t>
            </w:r>
            <w:r w:rsidRPr="00EE4A74">
              <w:rPr>
                <w:sz w:val="22"/>
                <w:szCs w:val="22"/>
              </w:rPr>
              <w:t>7 GHz</w:t>
            </w:r>
            <w:r w:rsidRPr="00EE4A74">
              <w:rPr>
                <w:bCs/>
                <w:sz w:val="22"/>
                <w:szCs w:val="22"/>
              </w:rPr>
              <w:t>)</w:t>
            </w:r>
            <w:r w:rsidRPr="00EE4A74">
              <w:rPr>
                <w:sz w:val="22"/>
                <w:szCs w:val="22"/>
              </w:rPr>
              <w:t>, compatibility with meteorological and Earth observation applications should be assessed and the adequate protection should be ensured.</w:t>
            </w:r>
          </w:p>
        </w:tc>
        <w:tc>
          <w:tcPr>
            <w:tcW w:w="5670" w:type="dxa"/>
          </w:tcPr>
          <w:p w:rsidR="00D82060" w:rsidRPr="00EE4A74" w:rsidRDefault="00D82060" w:rsidP="00236E22">
            <w:pPr>
              <w:rPr>
                <w:sz w:val="22"/>
                <w:szCs w:val="22"/>
              </w:rPr>
            </w:pPr>
            <w:r w:rsidRPr="00EE4A74">
              <w:rPr>
                <w:sz w:val="22"/>
                <w:szCs w:val="22"/>
              </w:rPr>
              <w:t xml:space="preserve">- APT Members support relevant ITU-R studies on WAIC in accordance with Resolution </w:t>
            </w:r>
            <w:r w:rsidRPr="00EE4A74">
              <w:rPr>
                <w:b/>
                <w:bCs/>
                <w:sz w:val="22"/>
                <w:szCs w:val="22"/>
              </w:rPr>
              <w:t>423 (WRC-12)</w:t>
            </w:r>
            <w:r w:rsidRPr="00EE4A74">
              <w:rPr>
                <w:sz w:val="22"/>
                <w:szCs w:val="22"/>
              </w:rPr>
              <w:t xml:space="preserve">. APT Members are also of the view that the possible introduction of WAIC systems should </w:t>
            </w:r>
            <w:proofErr w:type="gramStart"/>
            <w:r w:rsidRPr="00EE4A74">
              <w:rPr>
                <w:sz w:val="22"/>
                <w:szCs w:val="22"/>
              </w:rPr>
              <w:t>not cause harmful interference nor</w:t>
            </w:r>
            <w:proofErr w:type="gramEnd"/>
            <w:r w:rsidRPr="00EE4A74">
              <w:rPr>
                <w:sz w:val="22"/>
                <w:szCs w:val="22"/>
              </w:rPr>
              <w:t xml:space="preserve"> constraints to services to which the frequency band is allocated. </w:t>
            </w:r>
          </w:p>
          <w:p w:rsidR="00D82060" w:rsidRPr="00EE4A74" w:rsidRDefault="00D82060" w:rsidP="00D82060">
            <w:pPr>
              <w:numPr>
                <w:ilvl w:val="1"/>
                <w:numId w:val="2"/>
              </w:numPr>
              <w:spacing w:before="0" w:beforeAutospacing="0" w:after="0" w:afterAutospacing="0"/>
              <w:rPr>
                <w:sz w:val="22"/>
                <w:szCs w:val="22"/>
              </w:rPr>
            </w:pPr>
          </w:p>
          <w:p w:rsidR="00D82060" w:rsidRPr="00EE4A74" w:rsidRDefault="00D82060" w:rsidP="00236E22">
            <w:pPr>
              <w:rPr>
                <w:sz w:val="22"/>
                <w:szCs w:val="22"/>
              </w:rPr>
            </w:pPr>
          </w:p>
        </w:tc>
      </w:tr>
      <w:tr w:rsidR="00D82060" w:rsidTr="00236E22">
        <w:tc>
          <w:tcPr>
            <w:tcW w:w="817" w:type="dxa"/>
          </w:tcPr>
          <w:p w:rsidR="00D82060" w:rsidRPr="00EE4A74" w:rsidRDefault="00D82060" w:rsidP="00236E22">
            <w:pPr>
              <w:jc w:val="center"/>
              <w:rPr>
                <w:sz w:val="22"/>
                <w:szCs w:val="22"/>
              </w:rPr>
            </w:pPr>
            <w:r w:rsidRPr="00EE4A74">
              <w:rPr>
                <w:sz w:val="22"/>
                <w:szCs w:val="22"/>
              </w:rPr>
              <w:lastRenderedPageBreak/>
              <w:t>9.1.1</w:t>
            </w:r>
          </w:p>
          <w:p w:rsidR="00D82060" w:rsidRPr="00EE4A74" w:rsidRDefault="00D82060" w:rsidP="00236E22">
            <w:pPr>
              <w:jc w:val="center"/>
              <w:rPr>
                <w:sz w:val="22"/>
                <w:szCs w:val="22"/>
              </w:rPr>
            </w:pPr>
          </w:p>
          <w:p w:rsidR="00D82060" w:rsidRPr="00EE4A74" w:rsidRDefault="00D82060" w:rsidP="00236E22">
            <w:pPr>
              <w:jc w:val="center"/>
              <w:rPr>
                <w:color w:val="000000" w:themeColor="text1"/>
                <w:sz w:val="22"/>
                <w:szCs w:val="22"/>
              </w:rPr>
            </w:pPr>
            <w:r w:rsidRPr="00EE4A74">
              <w:rPr>
                <w:color w:val="000000" w:themeColor="text1"/>
                <w:sz w:val="22"/>
                <w:szCs w:val="22"/>
              </w:rPr>
              <w:t>WP4C</w:t>
            </w:r>
          </w:p>
        </w:tc>
        <w:tc>
          <w:tcPr>
            <w:tcW w:w="4253" w:type="dxa"/>
          </w:tcPr>
          <w:p w:rsidR="00D82060" w:rsidRPr="00EE4A74" w:rsidRDefault="00D82060" w:rsidP="00236E22">
            <w:pPr>
              <w:tabs>
                <w:tab w:val="num" w:pos="540"/>
              </w:tabs>
              <w:rPr>
                <w:bCs/>
                <w:sz w:val="22"/>
                <w:szCs w:val="22"/>
                <w:lang w:val="en-GB"/>
              </w:rPr>
            </w:pPr>
            <w:r w:rsidRPr="00EE4A74">
              <w:rPr>
                <w:sz w:val="22"/>
                <w:szCs w:val="22"/>
                <w:lang w:val="en-GB"/>
              </w:rPr>
              <w:t>to consider and approve the Report of the Director of the Radiocommunication Bureau, in accordance with Article 7 of the Convention</w:t>
            </w:r>
            <w:r w:rsidRPr="00EE4A74">
              <w:rPr>
                <w:bCs/>
                <w:sz w:val="22"/>
                <w:szCs w:val="22"/>
                <w:lang w:val="en-GB"/>
              </w:rPr>
              <w:t>:</w:t>
            </w:r>
            <w:r w:rsidRPr="00EE4A74">
              <w:rPr>
                <w:bCs/>
                <w:sz w:val="22"/>
                <w:szCs w:val="22"/>
                <w:lang w:val="en-GB"/>
              </w:rPr>
              <w:br/>
              <w:t>on the activities of the Radiocommunication Sector since WRC-12:</w:t>
            </w:r>
          </w:p>
          <w:p w:rsidR="00D82060" w:rsidRPr="00EE4A74" w:rsidRDefault="00D82060" w:rsidP="00236E22">
            <w:pPr>
              <w:rPr>
                <w:bCs/>
                <w:sz w:val="22"/>
                <w:szCs w:val="22"/>
                <w:lang w:val="en-GB"/>
              </w:rPr>
            </w:pPr>
            <w:r w:rsidRPr="00EE4A74">
              <w:rPr>
                <w:bCs/>
                <w:sz w:val="22"/>
                <w:szCs w:val="22"/>
                <w:lang w:val="en-GB"/>
              </w:rPr>
              <w:t xml:space="preserve">Protection of the systems operating in the </w:t>
            </w:r>
            <w:r w:rsidRPr="00EE4A74">
              <w:rPr>
                <w:bCs/>
                <w:color w:val="000000" w:themeColor="text1"/>
                <w:sz w:val="22"/>
                <w:szCs w:val="22"/>
                <w:lang w:val="en-GB"/>
              </w:rPr>
              <w:t>mobile-satellite service</w:t>
            </w:r>
            <w:r w:rsidRPr="00EE4A74">
              <w:rPr>
                <w:bCs/>
                <w:sz w:val="22"/>
                <w:szCs w:val="22"/>
                <w:lang w:val="en-GB"/>
              </w:rPr>
              <w:t xml:space="preserve"> in the band 406-406.1 MHz (Resolution </w:t>
            </w:r>
            <w:r w:rsidRPr="00EE4A74">
              <w:rPr>
                <w:sz w:val="22"/>
                <w:szCs w:val="22"/>
                <w:lang w:val="en-GB"/>
              </w:rPr>
              <w:t>205 (Rev.WRC-12)</w:t>
            </w:r>
            <w:r w:rsidRPr="00EE4A74">
              <w:rPr>
                <w:bCs/>
                <w:sz w:val="22"/>
                <w:szCs w:val="22"/>
                <w:lang w:val="en-GB"/>
              </w:rPr>
              <w:t>).</w:t>
            </w:r>
          </w:p>
        </w:tc>
        <w:tc>
          <w:tcPr>
            <w:tcW w:w="4677" w:type="dxa"/>
          </w:tcPr>
          <w:p w:rsidR="00D82060" w:rsidRPr="00EE4A74" w:rsidRDefault="00D82060" w:rsidP="00236E22">
            <w:pPr>
              <w:rPr>
                <w:sz w:val="22"/>
                <w:szCs w:val="22"/>
              </w:rPr>
            </w:pPr>
            <w:r w:rsidRPr="00EE4A74">
              <w:rPr>
                <w:sz w:val="22"/>
                <w:szCs w:val="22"/>
              </w:rPr>
              <w:t>WMO supports studies and regulatory measures towards ensuring the adequate protection to Cospas-Sarsat receivers against emissions from adjacent bands, noting that, to a large extent, those receivers are implemented on meteorological satellites.</w:t>
            </w:r>
          </w:p>
          <w:p w:rsidR="00D82060" w:rsidRPr="00EE4A74" w:rsidRDefault="00D82060" w:rsidP="00236E22">
            <w:pPr>
              <w:rPr>
                <w:sz w:val="22"/>
                <w:szCs w:val="22"/>
              </w:rPr>
            </w:pPr>
          </w:p>
        </w:tc>
        <w:tc>
          <w:tcPr>
            <w:tcW w:w="5670" w:type="dxa"/>
          </w:tcPr>
          <w:p w:rsidR="00D82060" w:rsidRPr="00EE4A74" w:rsidRDefault="00D82060" w:rsidP="00236E22">
            <w:pPr>
              <w:rPr>
                <w:sz w:val="22"/>
                <w:szCs w:val="22"/>
              </w:rPr>
            </w:pPr>
            <w:r w:rsidRPr="00EE4A74">
              <w:rPr>
                <w:sz w:val="22"/>
                <w:szCs w:val="22"/>
              </w:rPr>
              <w:t xml:space="preserve">Further studies are required on this issue. APT members are encouraged to monitor and evaluate the studies conducted in ITU-R and submit their contributions for further considerations in future meetings. All incumbent services to which the relevant bands are allocated should be protected for existing and planned assignments. </w:t>
            </w:r>
          </w:p>
          <w:p w:rsidR="00D82060" w:rsidRPr="00EE4A74" w:rsidRDefault="00D82060" w:rsidP="00236E22">
            <w:pPr>
              <w:rPr>
                <w:sz w:val="22"/>
                <w:szCs w:val="22"/>
              </w:rPr>
            </w:pPr>
          </w:p>
          <w:p w:rsidR="00D82060" w:rsidRPr="00EE4A74" w:rsidRDefault="00D82060" w:rsidP="00236E22">
            <w:pPr>
              <w:rPr>
                <w:sz w:val="22"/>
                <w:szCs w:val="22"/>
              </w:rPr>
            </w:pPr>
          </w:p>
        </w:tc>
      </w:tr>
      <w:tr w:rsidR="00D82060" w:rsidTr="00236E22">
        <w:tc>
          <w:tcPr>
            <w:tcW w:w="817" w:type="dxa"/>
          </w:tcPr>
          <w:p w:rsidR="00D82060" w:rsidRPr="00EE4A74" w:rsidRDefault="00D82060" w:rsidP="00236E22">
            <w:pPr>
              <w:jc w:val="center"/>
              <w:rPr>
                <w:sz w:val="22"/>
                <w:szCs w:val="22"/>
              </w:rPr>
            </w:pPr>
            <w:r w:rsidRPr="00EE4A74">
              <w:rPr>
                <w:sz w:val="22"/>
                <w:szCs w:val="22"/>
              </w:rPr>
              <w:t>9.1.5</w:t>
            </w:r>
          </w:p>
          <w:p w:rsidR="00D82060" w:rsidRPr="00EE4A74" w:rsidRDefault="00D82060" w:rsidP="00236E22">
            <w:pPr>
              <w:jc w:val="center"/>
              <w:rPr>
                <w:sz w:val="22"/>
                <w:szCs w:val="22"/>
              </w:rPr>
            </w:pPr>
          </w:p>
          <w:p w:rsidR="00D82060" w:rsidRPr="00EE4A74" w:rsidRDefault="00D82060" w:rsidP="00236E22">
            <w:pPr>
              <w:jc w:val="center"/>
              <w:rPr>
                <w:color w:val="000000" w:themeColor="text1"/>
                <w:sz w:val="22"/>
                <w:szCs w:val="22"/>
              </w:rPr>
            </w:pPr>
            <w:r w:rsidRPr="00EE4A74">
              <w:rPr>
                <w:color w:val="000000" w:themeColor="text1"/>
                <w:sz w:val="22"/>
                <w:szCs w:val="22"/>
              </w:rPr>
              <w:t>WP4A</w:t>
            </w:r>
          </w:p>
        </w:tc>
        <w:tc>
          <w:tcPr>
            <w:tcW w:w="4253" w:type="dxa"/>
          </w:tcPr>
          <w:p w:rsidR="00D82060" w:rsidRPr="00EE4A74" w:rsidRDefault="00D82060" w:rsidP="00236E22">
            <w:pPr>
              <w:rPr>
                <w:sz w:val="22"/>
                <w:szCs w:val="22"/>
              </w:rPr>
            </w:pPr>
            <w:r w:rsidRPr="00EE4A74">
              <w:rPr>
                <w:sz w:val="22"/>
                <w:szCs w:val="22"/>
              </w:rPr>
              <w:t>consider and approve the Report of the Director on the ITU-R activities on technical and regulatory actions in order to support existing and future operation of fixed</w:t>
            </w:r>
            <w:r w:rsidRPr="00EE4A74">
              <w:rPr>
                <w:sz w:val="22"/>
                <w:szCs w:val="22"/>
              </w:rPr>
              <w:noBreakHyphen/>
              <w:t>satellite service earth stations within the band 3 400-4 200 MHz, as an aid to the safe operation of aircraft and reliable distribution of meteorological information in some countries in Region 1</w:t>
            </w:r>
            <w:r w:rsidRPr="00EE4A74">
              <w:rPr>
                <w:b/>
                <w:bCs/>
                <w:sz w:val="22"/>
                <w:szCs w:val="22"/>
              </w:rPr>
              <w:t>.</w:t>
            </w:r>
          </w:p>
        </w:tc>
        <w:tc>
          <w:tcPr>
            <w:tcW w:w="4677" w:type="dxa"/>
          </w:tcPr>
          <w:p w:rsidR="00D82060" w:rsidRPr="00EE4A74" w:rsidRDefault="00D82060" w:rsidP="00236E22">
            <w:pPr>
              <w:rPr>
                <w:sz w:val="22"/>
                <w:szCs w:val="22"/>
              </w:rPr>
            </w:pPr>
            <w:r w:rsidRPr="00EE4A74">
              <w:rPr>
                <w:sz w:val="22"/>
                <w:szCs w:val="22"/>
              </w:rPr>
              <w:t>WMO supports technical and regulatory actions to protect the FSS operations in the band 3 400-4 200 MHz for the dissemination of meteorological data in Region 1.</w:t>
            </w:r>
          </w:p>
          <w:p w:rsidR="00D82060" w:rsidRPr="00EE4A74" w:rsidRDefault="00D82060" w:rsidP="00236E22">
            <w:pPr>
              <w:rPr>
                <w:b/>
                <w:sz w:val="22"/>
                <w:szCs w:val="22"/>
                <w:lang w:val="en-GB"/>
              </w:rPr>
            </w:pPr>
            <w:r w:rsidRPr="00EE4A74">
              <w:rPr>
                <w:sz w:val="22"/>
                <w:szCs w:val="22"/>
                <w:lang w:val="en-GB"/>
              </w:rPr>
              <w:t>In addition, WMO states its requirement to maintain relevant fixed satellite service capacity and availability in the 3 400-4 200 MHz frequency band.</w:t>
            </w:r>
          </w:p>
        </w:tc>
        <w:tc>
          <w:tcPr>
            <w:tcW w:w="5670" w:type="dxa"/>
          </w:tcPr>
          <w:p w:rsidR="00D82060" w:rsidRPr="00EE4A74" w:rsidRDefault="00D82060" w:rsidP="00236E22">
            <w:pPr>
              <w:rPr>
                <w:sz w:val="22"/>
                <w:szCs w:val="22"/>
              </w:rPr>
            </w:pPr>
            <w:r w:rsidRPr="00EE4A74">
              <w:rPr>
                <w:sz w:val="22"/>
                <w:szCs w:val="22"/>
              </w:rPr>
              <w:t>Position to be developed.</w:t>
            </w:r>
          </w:p>
        </w:tc>
      </w:tr>
    </w:tbl>
    <w:p w:rsidR="00D82060" w:rsidRDefault="00D82060" w:rsidP="00EE4A74"/>
    <w:sectPr w:rsidR="00D82060" w:rsidSect="00872DBF">
      <w:footnotePr>
        <w:numFmt w:val="chicago"/>
      </w:footnotePr>
      <w:pgSz w:w="16840" w:h="11907"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BF" w:rsidRDefault="000518BF" w:rsidP="007A73F8">
      <w:pPr>
        <w:spacing w:before="0" w:after="0"/>
      </w:pPr>
      <w:r>
        <w:separator/>
      </w:r>
    </w:p>
  </w:endnote>
  <w:endnote w:type="continuationSeparator" w:id="0">
    <w:p w:rsidR="000518BF" w:rsidRDefault="000518BF"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BF" w:rsidRDefault="000518BF" w:rsidP="007A73F8">
      <w:pPr>
        <w:spacing w:before="0" w:after="0"/>
      </w:pPr>
      <w:r>
        <w:separator/>
      </w:r>
    </w:p>
  </w:footnote>
  <w:footnote w:type="continuationSeparator" w:id="0">
    <w:p w:rsidR="000518BF" w:rsidRDefault="000518BF" w:rsidP="007A73F8">
      <w:pPr>
        <w:spacing w:before="0" w:after="0"/>
      </w:pPr>
      <w:r>
        <w:continuationSeparator/>
      </w:r>
    </w:p>
  </w:footnote>
  <w:footnote w:id="1">
    <w:p w:rsidR="00682FE9" w:rsidRDefault="00682FE9">
      <w:pPr>
        <w:pStyle w:val="FootnoteText"/>
      </w:pPr>
      <w:r>
        <w:rPr>
          <w:rStyle w:val="FootnoteReference"/>
        </w:rPr>
        <w:t>*</w:t>
      </w:r>
      <w:r>
        <w:t xml:space="preserve"> If restricted access is selected the WMO Document will only be accessible to the WMO WIKI registered users.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DB" w:rsidRPr="009C443D" w:rsidRDefault="00701FDB" w:rsidP="009C443D">
    <w:pPr>
      <w:pStyle w:val="Header"/>
      <w:spacing w:beforeAutospacing="0" w:afterAutospacing="0"/>
      <w:jc w:val="center"/>
      <w:rPr>
        <w:rStyle w:val="PageNumber"/>
        <w:sz w:val="18"/>
        <w:szCs w:val="18"/>
      </w:rPr>
    </w:pPr>
    <w:r w:rsidRPr="009C443D">
      <w:rPr>
        <w:sz w:val="18"/>
        <w:szCs w:val="18"/>
      </w:rPr>
      <w:t xml:space="preserve">- </w:t>
    </w:r>
    <w:r w:rsidR="00144843" w:rsidRPr="009C443D">
      <w:rPr>
        <w:rStyle w:val="PageNumber"/>
        <w:sz w:val="18"/>
        <w:szCs w:val="18"/>
      </w:rPr>
      <w:fldChar w:fldCharType="begin"/>
    </w:r>
    <w:r w:rsidRPr="009C443D">
      <w:rPr>
        <w:rStyle w:val="PageNumber"/>
        <w:sz w:val="18"/>
        <w:szCs w:val="18"/>
      </w:rPr>
      <w:instrText xml:space="preserve"> PAGE </w:instrText>
    </w:r>
    <w:r w:rsidR="00144843" w:rsidRPr="009C443D">
      <w:rPr>
        <w:rStyle w:val="PageNumber"/>
        <w:sz w:val="18"/>
        <w:szCs w:val="18"/>
      </w:rPr>
      <w:fldChar w:fldCharType="separate"/>
    </w:r>
    <w:r w:rsidR="00C66F97">
      <w:rPr>
        <w:rStyle w:val="PageNumber"/>
        <w:noProof/>
        <w:sz w:val="18"/>
        <w:szCs w:val="18"/>
      </w:rPr>
      <w:t>3</w:t>
    </w:r>
    <w:r w:rsidR="00144843" w:rsidRPr="009C443D">
      <w:rPr>
        <w:rStyle w:val="PageNumber"/>
        <w:sz w:val="18"/>
        <w:szCs w:val="18"/>
      </w:rPr>
      <w:fldChar w:fldCharType="end"/>
    </w:r>
    <w:r w:rsidRPr="009C443D">
      <w:rPr>
        <w:rStyle w:val="PageNumber"/>
        <w:sz w:val="18"/>
        <w:szCs w:val="18"/>
      </w:rPr>
      <w:t xml:space="preserve"> -</w:t>
    </w:r>
  </w:p>
  <w:p w:rsidR="00701FDB" w:rsidRDefault="00776EFE" w:rsidP="009C443D">
    <w:pPr>
      <w:pStyle w:val="Header"/>
      <w:spacing w:beforeAutospacing="0" w:afterAutospacing="0"/>
      <w:jc w:val="center"/>
      <w:rPr>
        <w:sz w:val="18"/>
        <w:szCs w:val="18"/>
      </w:rPr>
    </w:pPr>
    <w:r>
      <w:rPr>
        <w:sz w:val="18"/>
        <w:szCs w:val="18"/>
      </w:rPr>
      <w:t>SG-RFC/201</w:t>
    </w:r>
    <w:r w:rsidR="002A46EC">
      <w:rPr>
        <w:sz w:val="18"/>
        <w:szCs w:val="18"/>
      </w:rPr>
      <w:t>4</w:t>
    </w:r>
    <w:r>
      <w:rPr>
        <w:sz w:val="18"/>
        <w:szCs w:val="18"/>
      </w:rPr>
      <w:t>-1-</w:t>
    </w:r>
    <w:r w:rsidR="00C66F97">
      <w:rPr>
        <w:sz w:val="18"/>
        <w:szCs w:val="18"/>
      </w:rPr>
      <w:t>15</w:t>
    </w:r>
    <w:r w:rsidR="00B1454C">
      <w:rPr>
        <w:sz w:val="18"/>
        <w:szCs w:val="18"/>
      </w:rPr>
      <w:t>..</w:t>
    </w:r>
    <w:r w:rsidR="00701FDB" w:rsidRPr="009C443D">
      <w:rPr>
        <w:sz w:val="18"/>
        <w:szCs w:val="18"/>
      </w:rPr>
      <w:t>-E</w:t>
    </w:r>
  </w:p>
  <w:p w:rsidR="006A4FF3" w:rsidRPr="009C443D" w:rsidRDefault="006A4FF3" w:rsidP="009C443D">
    <w:pPr>
      <w:pStyle w:val="Header"/>
      <w:spacing w:beforeAutospacing="0" w:afterAutospacing="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3E7D8A"/>
    <w:multiLevelType w:val="hybridMultilevel"/>
    <w:tmpl w:val="37D93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70979"/>
    <w:multiLevelType w:val="hybridMultilevel"/>
    <w:tmpl w:val="39CE0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B"/>
    <w:rsid w:val="000309C2"/>
    <w:rsid w:val="000309FF"/>
    <w:rsid w:val="0004008D"/>
    <w:rsid w:val="000518BF"/>
    <w:rsid w:val="000757E9"/>
    <w:rsid w:val="00082939"/>
    <w:rsid w:val="000979EA"/>
    <w:rsid w:val="000A42FF"/>
    <w:rsid w:val="000A504D"/>
    <w:rsid w:val="000E608D"/>
    <w:rsid w:val="00102305"/>
    <w:rsid w:val="00107650"/>
    <w:rsid w:val="00113766"/>
    <w:rsid w:val="0014262E"/>
    <w:rsid w:val="00144843"/>
    <w:rsid w:val="0016350F"/>
    <w:rsid w:val="00167708"/>
    <w:rsid w:val="00181EBA"/>
    <w:rsid w:val="00185160"/>
    <w:rsid w:val="0018521E"/>
    <w:rsid w:val="001B10D7"/>
    <w:rsid w:val="001B2071"/>
    <w:rsid w:val="001B25A7"/>
    <w:rsid w:val="00223B48"/>
    <w:rsid w:val="0027433C"/>
    <w:rsid w:val="00277FCC"/>
    <w:rsid w:val="002A46EC"/>
    <w:rsid w:val="002A6E93"/>
    <w:rsid w:val="002E18C0"/>
    <w:rsid w:val="00304706"/>
    <w:rsid w:val="00344376"/>
    <w:rsid w:val="00347E8E"/>
    <w:rsid w:val="0036338C"/>
    <w:rsid w:val="003D38B9"/>
    <w:rsid w:val="003F08D3"/>
    <w:rsid w:val="00412162"/>
    <w:rsid w:val="00422D26"/>
    <w:rsid w:val="0043053C"/>
    <w:rsid w:val="0044117D"/>
    <w:rsid w:val="00466E06"/>
    <w:rsid w:val="00477E34"/>
    <w:rsid w:val="004A39AA"/>
    <w:rsid w:val="004E7941"/>
    <w:rsid w:val="00510362"/>
    <w:rsid w:val="005B5FEE"/>
    <w:rsid w:val="005D6572"/>
    <w:rsid w:val="00604C1A"/>
    <w:rsid w:val="00613500"/>
    <w:rsid w:val="006237F8"/>
    <w:rsid w:val="006546D0"/>
    <w:rsid w:val="0065683A"/>
    <w:rsid w:val="00682FE9"/>
    <w:rsid w:val="00683FE2"/>
    <w:rsid w:val="00695EB8"/>
    <w:rsid w:val="006A4FF3"/>
    <w:rsid w:val="006B4441"/>
    <w:rsid w:val="006F650D"/>
    <w:rsid w:val="00701FDB"/>
    <w:rsid w:val="00713E61"/>
    <w:rsid w:val="00716EFA"/>
    <w:rsid w:val="00767181"/>
    <w:rsid w:val="00776EFE"/>
    <w:rsid w:val="007777CB"/>
    <w:rsid w:val="00781BC4"/>
    <w:rsid w:val="00790387"/>
    <w:rsid w:val="007A73F8"/>
    <w:rsid w:val="007A7EA5"/>
    <w:rsid w:val="007E395D"/>
    <w:rsid w:val="007F3F87"/>
    <w:rsid w:val="007F6686"/>
    <w:rsid w:val="008075D2"/>
    <w:rsid w:val="00812884"/>
    <w:rsid w:val="00820C6F"/>
    <w:rsid w:val="008276D1"/>
    <w:rsid w:val="00832FA4"/>
    <w:rsid w:val="0084266A"/>
    <w:rsid w:val="00852F63"/>
    <w:rsid w:val="008674B1"/>
    <w:rsid w:val="00872AB2"/>
    <w:rsid w:val="00872DBF"/>
    <w:rsid w:val="00876393"/>
    <w:rsid w:val="00891B49"/>
    <w:rsid w:val="008D24C5"/>
    <w:rsid w:val="0093198A"/>
    <w:rsid w:val="0097015B"/>
    <w:rsid w:val="00991D0C"/>
    <w:rsid w:val="009C443D"/>
    <w:rsid w:val="00A16C11"/>
    <w:rsid w:val="00A30EDB"/>
    <w:rsid w:val="00A409CB"/>
    <w:rsid w:val="00A530FD"/>
    <w:rsid w:val="00A80B44"/>
    <w:rsid w:val="00A90A0C"/>
    <w:rsid w:val="00AA5121"/>
    <w:rsid w:val="00B13392"/>
    <w:rsid w:val="00B1454C"/>
    <w:rsid w:val="00B16AE0"/>
    <w:rsid w:val="00B33A0B"/>
    <w:rsid w:val="00B35CA8"/>
    <w:rsid w:val="00B65F89"/>
    <w:rsid w:val="00BB2405"/>
    <w:rsid w:val="00BB65DE"/>
    <w:rsid w:val="00BC3021"/>
    <w:rsid w:val="00C33900"/>
    <w:rsid w:val="00C34014"/>
    <w:rsid w:val="00C66F97"/>
    <w:rsid w:val="00CA07A6"/>
    <w:rsid w:val="00CA0ED3"/>
    <w:rsid w:val="00CC0BD7"/>
    <w:rsid w:val="00CC27FD"/>
    <w:rsid w:val="00CE2A96"/>
    <w:rsid w:val="00D01EB3"/>
    <w:rsid w:val="00D027EB"/>
    <w:rsid w:val="00D82060"/>
    <w:rsid w:val="00DC1CA7"/>
    <w:rsid w:val="00DC310B"/>
    <w:rsid w:val="00E30F56"/>
    <w:rsid w:val="00E33512"/>
    <w:rsid w:val="00E6563A"/>
    <w:rsid w:val="00E8009A"/>
    <w:rsid w:val="00E92931"/>
    <w:rsid w:val="00EA7371"/>
    <w:rsid w:val="00EC7D65"/>
    <w:rsid w:val="00EE4A74"/>
    <w:rsid w:val="00F12FBE"/>
    <w:rsid w:val="00F30103"/>
    <w:rsid w:val="00F701F9"/>
    <w:rsid w:val="00F704A4"/>
    <w:rsid w:val="00FB7F60"/>
    <w:rsid w:val="00FC7EB3"/>
    <w:rsid w:val="00FD4D9D"/>
    <w:rsid w:val="00FD7ED5"/>
    <w:rsid w:val="00FE0656"/>
    <w:rsid w:val="00FE3FBC"/>
    <w:rsid w:val="00FF70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59"/>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59"/>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98BE6-436A-47A0-8043-044C868824F6}">
  <ds:schemaRefs>
    <ds:schemaRef ds:uri="http://schemas.openxmlformats.org/officeDocument/2006/bibliography"/>
  </ds:schemaRefs>
</ds:datastoreItem>
</file>

<file path=customXml/itemProps2.xml><?xml version="1.0" encoding="utf-8"?>
<ds:datastoreItem xmlns:ds="http://schemas.openxmlformats.org/officeDocument/2006/customXml" ds:itemID="{DB92A715-ACD4-417E-B3F1-80325332B5BB}"/>
</file>

<file path=customXml/itemProps3.xml><?xml version="1.0" encoding="utf-8"?>
<ds:datastoreItem xmlns:ds="http://schemas.openxmlformats.org/officeDocument/2006/customXml" ds:itemID="{B42D134C-7D95-4B14-9A42-687810DE4C42}"/>
</file>

<file path=customXml/itemProps4.xml><?xml version="1.0" encoding="utf-8"?>
<ds:datastoreItem xmlns:ds="http://schemas.openxmlformats.org/officeDocument/2006/customXml" ds:itemID="{EA83DCD8-3FFD-4CEC-92F5-F4B87FB52B98}"/>
</file>

<file path=docProps/app.xml><?xml version="1.0" encoding="utf-8"?>
<Properties xmlns="http://schemas.openxmlformats.org/officeDocument/2006/extended-properties" xmlns:vt="http://schemas.openxmlformats.org/officeDocument/2006/docPropsVTypes">
  <Template>D3A2871E.dotm</Template>
  <TotalTime>0</TotalTime>
  <Pages>6</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WMO SG-RFC Document</vt:lpstr>
    </vt:vector>
  </TitlesOfParts>
  <Company>WMO</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SG-RFC Document</dc:title>
  <dc:subject>APT Views on WRC-15 Agenda Items of WMO Interest</dc:subject>
  <dc:creator>Paul HETTRICK</dc:creator>
  <cp:lastModifiedBy>David Thomas</cp:lastModifiedBy>
  <cp:revision>2</cp:revision>
  <cp:lastPrinted>2012-10-22T16:15:00Z</cp:lastPrinted>
  <dcterms:created xsi:type="dcterms:W3CDTF">2014-03-03T10:02:00Z</dcterms:created>
  <dcterms:modified xsi:type="dcterms:W3CDTF">2014-03-03T10:02:00Z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