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charts/chart2.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B0" w:rsidRDefault="00ED77B0" w:rsidP="00ED77B0">
      <w:pPr>
        <w:pStyle w:val="Heading1"/>
        <w:rPr>
          <w:lang w:eastAsia="ja-JP"/>
        </w:rPr>
      </w:pPr>
      <w:r w:rsidRPr="00536819">
        <w:rPr>
          <w:lang w:eastAsia="ja-JP"/>
        </w:rPr>
        <w:t>3.1</w:t>
      </w:r>
      <w:r w:rsidRPr="00536819">
        <w:rPr>
          <w:lang w:eastAsia="ja-JP"/>
        </w:rPr>
        <w:tab/>
        <w:t>Status reports of WIS Centres</w:t>
      </w:r>
    </w:p>
    <w:p w:rsidR="00076949" w:rsidRPr="00076949" w:rsidRDefault="00076949" w:rsidP="00C66EEC">
      <w:pPr>
        <w:pStyle w:val="Heading1"/>
        <w:rPr>
          <w:lang w:eastAsia="ja-JP"/>
        </w:rPr>
      </w:pPr>
      <w:r>
        <w:rPr>
          <w:rFonts w:hint="eastAsia"/>
          <w:lang w:eastAsia="ja-JP"/>
        </w:rPr>
        <w:t>Status Report of JMA</w:t>
      </w:r>
    </w:p>
    <w:p w:rsidR="00536819" w:rsidRDefault="00536819" w:rsidP="00536819">
      <w:pPr>
        <w:pStyle w:val="Heading2"/>
        <w:rPr>
          <w:lang w:eastAsia="ja-JP"/>
        </w:rPr>
      </w:pPr>
      <w:r>
        <w:rPr>
          <w:lang w:eastAsia="ja-JP"/>
        </w:rPr>
        <w:t>Introduction</w:t>
      </w:r>
    </w:p>
    <w:p w:rsidR="00536819" w:rsidRPr="009617AA" w:rsidRDefault="00536819" w:rsidP="00536819">
      <w:pPr>
        <w:rPr>
          <w:lang w:eastAsia="ja-JP"/>
        </w:rPr>
      </w:pPr>
      <w:r>
        <w:rPr>
          <w:rFonts w:hint="eastAsia"/>
          <w:lang w:eastAsia="ja-JP"/>
        </w:rPr>
        <w:t xml:space="preserve">Since official operation </w:t>
      </w:r>
      <w:r w:rsidR="009B7C5B">
        <w:rPr>
          <w:rFonts w:hint="eastAsia"/>
          <w:lang w:eastAsia="ja-JP"/>
        </w:rPr>
        <w:t>in A</w:t>
      </w:r>
      <w:r>
        <w:rPr>
          <w:rFonts w:hint="eastAsia"/>
          <w:lang w:eastAsia="ja-JP"/>
        </w:rPr>
        <w:t xml:space="preserve">ugust 2011, </w:t>
      </w:r>
      <w:r w:rsidR="002445B6">
        <w:rPr>
          <w:rFonts w:hint="eastAsia"/>
          <w:lang w:eastAsia="ja-JP"/>
        </w:rPr>
        <w:t>JMA</w:t>
      </w:r>
      <w:r w:rsidR="00B86C66">
        <w:rPr>
          <w:rFonts w:hint="eastAsia"/>
          <w:lang w:eastAsia="ja-JP"/>
        </w:rPr>
        <w:t xml:space="preserve"> </w:t>
      </w:r>
      <w:r>
        <w:rPr>
          <w:rFonts w:hint="eastAsia"/>
          <w:lang w:eastAsia="ja-JP"/>
        </w:rPr>
        <w:t>ha</w:t>
      </w:r>
      <w:r w:rsidR="00B86C66">
        <w:rPr>
          <w:rFonts w:hint="eastAsia"/>
          <w:lang w:eastAsia="ja-JP"/>
        </w:rPr>
        <w:t>s</w:t>
      </w:r>
      <w:r>
        <w:rPr>
          <w:rFonts w:hint="eastAsia"/>
          <w:lang w:eastAsia="ja-JP"/>
        </w:rPr>
        <w:t xml:space="preserve"> been </w:t>
      </w:r>
      <w:r w:rsidRPr="007257EB">
        <w:rPr>
          <w:lang w:eastAsia="ja-JP"/>
        </w:rPr>
        <w:t>striving for performing stable operation</w:t>
      </w:r>
      <w:r w:rsidR="00F549AD">
        <w:rPr>
          <w:rFonts w:hint="eastAsia"/>
          <w:lang w:eastAsia="ja-JP"/>
        </w:rPr>
        <w:t xml:space="preserve"> of G</w:t>
      </w:r>
      <w:r w:rsidR="00FA3EB2">
        <w:rPr>
          <w:rFonts w:hint="eastAsia"/>
          <w:lang w:eastAsia="ja-JP"/>
        </w:rPr>
        <w:t xml:space="preserve">ISC Tokyo </w:t>
      </w:r>
      <w:r w:rsidR="00F549AD">
        <w:rPr>
          <w:rFonts w:hint="eastAsia"/>
          <w:lang w:eastAsia="ja-JP"/>
        </w:rPr>
        <w:t>and 8 DCPCs</w:t>
      </w:r>
      <w:r>
        <w:rPr>
          <w:rFonts w:hint="eastAsia"/>
          <w:lang w:eastAsia="ja-JP"/>
        </w:rPr>
        <w:t xml:space="preserve">. </w:t>
      </w:r>
      <w:r w:rsidR="00B86C66">
        <w:rPr>
          <w:rFonts w:hint="eastAsia"/>
          <w:lang w:eastAsia="ja-JP"/>
        </w:rPr>
        <w:t xml:space="preserve">GISC Tokyo </w:t>
      </w:r>
      <w:r>
        <w:rPr>
          <w:rFonts w:hint="eastAsia"/>
          <w:lang w:eastAsia="ja-JP"/>
        </w:rPr>
        <w:t>added some system and performanc</w:t>
      </w:r>
      <w:bookmarkStart w:id="0" w:name="_GoBack"/>
      <w:bookmarkEnd w:id="0"/>
      <w:r>
        <w:rPr>
          <w:rFonts w:hint="eastAsia"/>
          <w:lang w:eastAsia="ja-JP"/>
        </w:rPr>
        <w:t xml:space="preserve">e </w:t>
      </w:r>
      <w:r>
        <w:rPr>
          <w:lang w:eastAsia="ja-JP"/>
        </w:rPr>
        <w:t>monitoring</w:t>
      </w:r>
      <w:r>
        <w:rPr>
          <w:rFonts w:hint="eastAsia"/>
          <w:lang w:eastAsia="ja-JP"/>
        </w:rPr>
        <w:t xml:space="preserve"> for this matter </w:t>
      </w:r>
      <w:r w:rsidR="004177D8">
        <w:rPr>
          <w:rFonts w:hint="eastAsia"/>
          <w:lang w:eastAsia="ja-JP"/>
        </w:rPr>
        <w:t xml:space="preserve">with thinking </w:t>
      </w:r>
      <w:r>
        <w:rPr>
          <w:rFonts w:hint="eastAsia"/>
          <w:lang w:eastAsia="ja-JP"/>
        </w:rPr>
        <w:t xml:space="preserve">what </w:t>
      </w:r>
      <w:r>
        <w:rPr>
          <w:lang w:eastAsia="ja-JP"/>
        </w:rPr>
        <w:t>“</w:t>
      </w:r>
      <w:r>
        <w:rPr>
          <w:rFonts w:hint="eastAsia"/>
          <w:lang w:eastAsia="ja-JP"/>
        </w:rPr>
        <w:t xml:space="preserve">WIS </w:t>
      </w:r>
      <w:r>
        <w:rPr>
          <w:lang w:eastAsia="ja-JP"/>
        </w:rPr>
        <w:t>Monitoring”</w:t>
      </w:r>
      <w:r>
        <w:rPr>
          <w:rFonts w:hint="eastAsia"/>
          <w:lang w:eastAsia="ja-JP"/>
        </w:rPr>
        <w:t xml:space="preserve"> is.</w:t>
      </w:r>
      <w:r w:rsidRPr="000467D9">
        <w:rPr>
          <w:lang w:eastAsia="ja-JP"/>
        </w:rPr>
        <w:t xml:space="preserve"> </w:t>
      </w:r>
      <w:r>
        <w:rPr>
          <w:lang w:eastAsia="ja-JP"/>
        </w:rPr>
        <w:t>A</w:t>
      </w:r>
      <w:r>
        <w:rPr>
          <w:rFonts w:hint="eastAsia"/>
          <w:lang w:eastAsia="ja-JP"/>
        </w:rPr>
        <w:t xml:space="preserve">lso </w:t>
      </w:r>
      <w:r w:rsidR="00B86C66">
        <w:rPr>
          <w:rFonts w:hint="eastAsia"/>
          <w:lang w:eastAsia="ja-JP"/>
        </w:rPr>
        <w:t>GISC Tokyo</w:t>
      </w:r>
      <w:r>
        <w:rPr>
          <w:rFonts w:hint="eastAsia"/>
          <w:lang w:eastAsia="ja-JP"/>
        </w:rPr>
        <w:t xml:space="preserve"> keep developing WIS/GISC software</w:t>
      </w:r>
      <w:r w:rsidR="00515FAA">
        <w:rPr>
          <w:rFonts w:hint="eastAsia"/>
          <w:lang w:eastAsia="ja-JP"/>
        </w:rPr>
        <w:t xml:space="preserve"> </w:t>
      </w:r>
      <w:r w:rsidR="00154A0A">
        <w:rPr>
          <w:rFonts w:hint="eastAsia"/>
          <w:lang w:eastAsia="ja-JP"/>
        </w:rPr>
        <w:t xml:space="preserve">to enhance our operation and for </w:t>
      </w:r>
      <w:r w:rsidR="00DD1680" w:rsidRPr="00DD1680">
        <w:rPr>
          <w:lang w:eastAsia="ja-JP"/>
        </w:rPr>
        <w:t>RA-II/V</w:t>
      </w:r>
      <w:r w:rsidR="00DD1680">
        <w:rPr>
          <w:rFonts w:hint="eastAsia"/>
          <w:lang w:eastAsia="ja-JP"/>
        </w:rPr>
        <w:t xml:space="preserve"> </w:t>
      </w:r>
      <w:r>
        <w:rPr>
          <w:rFonts w:hint="eastAsia"/>
          <w:lang w:eastAsia="ja-JP"/>
        </w:rPr>
        <w:t>WIS Application Pilot Project.</w:t>
      </w:r>
    </w:p>
    <w:p w:rsidR="00E74EA2" w:rsidRDefault="00E74EA2" w:rsidP="00536819">
      <w:pPr>
        <w:rPr>
          <w:lang w:eastAsia="ja-JP"/>
        </w:rPr>
      </w:pPr>
      <w:r>
        <w:rPr>
          <w:lang w:eastAsia="ja-JP"/>
        </w:rPr>
        <w:t>T</w:t>
      </w:r>
      <w:r>
        <w:rPr>
          <w:rFonts w:hint="eastAsia"/>
          <w:lang w:eastAsia="ja-JP"/>
        </w:rPr>
        <w:t xml:space="preserve">he </w:t>
      </w:r>
      <w:r w:rsidRPr="00DD1680">
        <w:rPr>
          <w:lang w:eastAsia="ja-JP"/>
        </w:rPr>
        <w:t>RA-II/V</w:t>
      </w:r>
      <w:r>
        <w:rPr>
          <w:rFonts w:hint="eastAsia"/>
          <w:lang w:eastAsia="ja-JP"/>
        </w:rPr>
        <w:t xml:space="preserve"> </w:t>
      </w:r>
      <w:r w:rsidRPr="00E74EA2">
        <w:rPr>
          <w:lang w:eastAsia="ja-JP"/>
        </w:rPr>
        <w:t xml:space="preserve">WIS Application Pilot Project was established in order to develop software applications for support WIS functions as the next phase of the VPN Pilot Project in Regions II and V. And this Project focuses on internet-based applications designed to run on PC for every </w:t>
      </w:r>
      <w:r w:rsidR="00581703">
        <w:rPr>
          <w:rFonts w:hint="eastAsia"/>
          <w:lang w:eastAsia="ja-JP"/>
        </w:rPr>
        <w:t>m</w:t>
      </w:r>
      <w:r w:rsidRPr="00E74EA2">
        <w:rPr>
          <w:lang w:eastAsia="ja-JP"/>
        </w:rPr>
        <w:t>ember’s WIS operations.</w:t>
      </w:r>
    </w:p>
    <w:p w:rsidR="00536819" w:rsidRDefault="00536819" w:rsidP="00536819">
      <w:pPr>
        <w:rPr>
          <w:lang w:eastAsia="ja-JP"/>
        </w:rPr>
      </w:pPr>
      <w:r>
        <w:rPr>
          <w:lang w:eastAsia="ja-JP"/>
        </w:rPr>
        <w:t>U</w:t>
      </w:r>
      <w:r>
        <w:rPr>
          <w:rFonts w:hint="eastAsia"/>
          <w:lang w:eastAsia="ja-JP"/>
        </w:rPr>
        <w:t xml:space="preserve">pon request from NCs, </w:t>
      </w:r>
      <w:r w:rsidR="00865186">
        <w:rPr>
          <w:rFonts w:hint="eastAsia"/>
          <w:lang w:eastAsia="ja-JP"/>
        </w:rPr>
        <w:t xml:space="preserve">GISC Tokyo has been </w:t>
      </w:r>
      <w:r>
        <w:rPr>
          <w:rFonts w:hint="eastAsia"/>
          <w:lang w:eastAsia="ja-JP"/>
        </w:rPr>
        <w:t xml:space="preserve">helping metadata creation </w:t>
      </w:r>
      <w:r w:rsidR="005364F3">
        <w:rPr>
          <w:rFonts w:hint="eastAsia"/>
          <w:lang w:eastAsia="ja-JP"/>
        </w:rPr>
        <w:t xml:space="preserve">and </w:t>
      </w:r>
      <w:r w:rsidR="005364F3">
        <w:rPr>
          <w:lang w:eastAsia="ja-JP"/>
        </w:rPr>
        <w:t>maintain</w:t>
      </w:r>
      <w:r w:rsidR="005364F3">
        <w:rPr>
          <w:rFonts w:hint="eastAsia"/>
          <w:lang w:eastAsia="ja-JP"/>
        </w:rPr>
        <w:t xml:space="preserve"> </w:t>
      </w:r>
      <w:r>
        <w:rPr>
          <w:rFonts w:hint="eastAsia"/>
          <w:lang w:eastAsia="ja-JP"/>
        </w:rPr>
        <w:t>for NCs in area of</w:t>
      </w:r>
      <w:r w:rsidR="00FF1CD2">
        <w:rPr>
          <w:rFonts w:hint="eastAsia"/>
          <w:lang w:eastAsia="ja-JP"/>
        </w:rPr>
        <w:t xml:space="preserve"> responsibility</w:t>
      </w:r>
      <w:r w:rsidR="00E86E4D">
        <w:rPr>
          <w:rFonts w:hint="eastAsia"/>
          <w:lang w:eastAsia="ja-JP"/>
        </w:rPr>
        <w:t xml:space="preserve"> and as WIMMS.</w:t>
      </w:r>
      <w:r w:rsidR="00ED5FF7">
        <w:rPr>
          <w:rFonts w:hint="eastAsia"/>
          <w:lang w:eastAsia="ja-JP"/>
        </w:rPr>
        <w:t xml:space="preserve"> </w:t>
      </w:r>
      <w:r w:rsidR="00347D6B">
        <w:rPr>
          <w:rFonts w:hint="eastAsia"/>
          <w:lang w:eastAsia="ja-JP"/>
        </w:rPr>
        <w:t xml:space="preserve">GISC Tokyo </w:t>
      </w:r>
      <w:r>
        <w:rPr>
          <w:rFonts w:hint="eastAsia"/>
          <w:lang w:eastAsia="ja-JP"/>
        </w:rPr>
        <w:t>ha</w:t>
      </w:r>
      <w:r w:rsidR="00347D6B">
        <w:rPr>
          <w:rFonts w:hint="eastAsia"/>
          <w:lang w:eastAsia="ja-JP"/>
        </w:rPr>
        <w:t>s</w:t>
      </w:r>
      <w:r>
        <w:rPr>
          <w:rFonts w:hint="eastAsia"/>
          <w:lang w:eastAsia="ja-JP"/>
        </w:rPr>
        <w:t xml:space="preserve"> been </w:t>
      </w:r>
      <w:r>
        <w:rPr>
          <w:lang w:eastAsia="ja-JP"/>
        </w:rPr>
        <w:t>exchang</w:t>
      </w:r>
      <w:r>
        <w:rPr>
          <w:rFonts w:hint="eastAsia"/>
          <w:lang w:eastAsia="ja-JP"/>
        </w:rPr>
        <w:t xml:space="preserve">ing collected metadata with 6 </w:t>
      </w:r>
      <w:r>
        <w:rPr>
          <w:lang w:eastAsia="ja-JP"/>
        </w:rPr>
        <w:t>operational</w:t>
      </w:r>
      <w:r>
        <w:rPr>
          <w:rFonts w:hint="eastAsia"/>
          <w:lang w:eastAsia="ja-JP"/>
        </w:rPr>
        <w:t xml:space="preserve"> GISCs.</w:t>
      </w:r>
    </w:p>
    <w:p w:rsidR="00536819" w:rsidRDefault="00536819" w:rsidP="00536819">
      <w:pPr>
        <w:rPr>
          <w:lang w:eastAsia="ja-JP"/>
        </w:rPr>
      </w:pPr>
      <w:r>
        <w:rPr>
          <w:lang w:eastAsia="ja-JP"/>
        </w:rPr>
        <w:t>F</w:t>
      </w:r>
      <w:r>
        <w:rPr>
          <w:rFonts w:hint="eastAsia"/>
          <w:lang w:eastAsia="ja-JP"/>
        </w:rPr>
        <w:t>or c</w:t>
      </w:r>
      <w:r w:rsidRPr="00FC78F5">
        <w:rPr>
          <w:lang w:eastAsia="ja-JP"/>
        </w:rPr>
        <w:t xml:space="preserve">apacity </w:t>
      </w:r>
      <w:r>
        <w:rPr>
          <w:rFonts w:hint="eastAsia"/>
          <w:lang w:eastAsia="ja-JP"/>
        </w:rPr>
        <w:t>b</w:t>
      </w:r>
      <w:r w:rsidRPr="00FC78F5">
        <w:rPr>
          <w:lang w:eastAsia="ja-JP"/>
        </w:rPr>
        <w:t>uilding</w:t>
      </w:r>
      <w:r w:rsidR="00310F41">
        <w:rPr>
          <w:rFonts w:hint="eastAsia"/>
          <w:lang w:eastAsia="ja-JP"/>
        </w:rPr>
        <w:t xml:space="preserve"> </w:t>
      </w:r>
      <w:r>
        <w:rPr>
          <w:rFonts w:hint="eastAsia"/>
          <w:lang w:eastAsia="ja-JP"/>
        </w:rPr>
        <w:t>f</w:t>
      </w:r>
      <w:r w:rsidR="00310F41">
        <w:rPr>
          <w:rFonts w:hint="eastAsia"/>
          <w:lang w:eastAsia="ja-JP"/>
        </w:rPr>
        <w:t>or</w:t>
      </w:r>
      <w:r>
        <w:rPr>
          <w:rFonts w:hint="eastAsia"/>
          <w:lang w:eastAsia="ja-JP"/>
        </w:rPr>
        <w:t xml:space="preserve"> </w:t>
      </w:r>
      <w:r w:rsidRPr="00FC78F5">
        <w:rPr>
          <w:lang w:eastAsia="ja-JP"/>
        </w:rPr>
        <w:t>neighboring countries</w:t>
      </w:r>
      <w:r>
        <w:rPr>
          <w:rFonts w:hint="eastAsia"/>
          <w:lang w:eastAsia="ja-JP"/>
        </w:rPr>
        <w:t xml:space="preserve">, </w:t>
      </w:r>
      <w:r w:rsidR="00347D6B">
        <w:rPr>
          <w:rFonts w:hint="eastAsia"/>
          <w:lang w:eastAsia="ja-JP"/>
        </w:rPr>
        <w:t>GISC Tokyo</w:t>
      </w:r>
      <w:r>
        <w:rPr>
          <w:rFonts w:hint="eastAsia"/>
          <w:lang w:eastAsia="ja-JP"/>
        </w:rPr>
        <w:t xml:space="preserve"> held the 2nd WIS workshop, </w:t>
      </w:r>
      <w:r>
        <w:rPr>
          <w:lang w:eastAsia="ja-JP"/>
        </w:rPr>
        <w:t>“</w:t>
      </w:r>
      <w:r w:rsidRPr="009F3A18">
        <w:rPr>
          <w:lang w:eastAsia="ja-JP"/>
        </w:rPr>
        <w:t>JMA</w:t>
      </w:r>
      <w:r>
        <w:rPr>
          <w:rFonts w:hint="eastAsia"/>
          <w:lang w:eastAsia="ja-JP"/>
        </w:rPr>
        <w:t xml:space="preserve"> </w:t>
      </w:r>
      <w:r w:rsidRPr="009F3A18">
        <w:rPr>
          <w:lang w:eastAsia="ja-JP"/>
        </w:rPr>
        <w:t>workshop on WIS Implementation</w:t>
      </w:r>
      <w:r>
        <w:rPr>
          <w:lang w:eastAsia="ja-JP"/>
        </w:rPr>
        <w:t>”</w:t>
      </w:r>
      <w:r>
        <w:rPr>
          <w:rFonts w:hint="eastAsia"/>
          <w:lang w:eastAsia="ja-JP"/>
        </w:rPr>
        <w:t xml:space="preserve"> in Tokyo </w:t>
      </w:r>
      <w:r w:rsidRPr="00F531AF">
        <w:rPr>
          <w:lang w:eastAsia="ja-JP"/>
        </w:rPr>
        <w:t>October 2012</w:t>
      </w:r>
      <w:r>
        <w:rPr>
          <w:rFonts w:hint="eastAsia"/>
          <w:lang w:eastAsia="ja-JP"/>
        </w:rPr>
        <w:t xml:space="preserve">. Also </w:t>
      </w:r>
      <w:r w:rsidR="008E46AA">
        <w:rPr>
          <w:rFonts w:hint="eastAsia"/>
          <w:lang w:eastAsia="ja-JP"/>
        </w:rPr>
        <w:t xml:space="preserve">GISC Tokyo </w:t>
      </w:r>
      <w:r w:rsidR="000A397A">
        <w:rPr>
          <w:rFonts w:hint="eastAsia"/>
          <w:lang w:eastAsia="ja-JP"/>
        </w:rPr>
        <w:t>joined 3</w:t>
      </w:r>
      <w:r>
        <w:rPr>
          <w:rFonts w:hint="eastAsia"/>
          <w:lang w:eastAsia="ja-JP"/>
        </w:rPr>
        <w:t xml:space="preserve"> WIS </w:t>
      </w:r>
      <w:proofErr w:type="gramStart"/>
      <w:r>
        <w:rPr>
          <w:rFonts w:hint="eastAsia"/>
          <w:lang w:eastAsia="ja-JP"/>
        </w:rPr>
        <w:t>workshop</w:t>
      </w:r>
      <w:proofErr w:type="gramEnd"/>
      <w:r>
        <w:rPr>
          <w:rFonts w:hint="eastAsia"/>
          <w:lang w:eastAsia="ja-JP"/>
        </w:rPr>
        <w:t xml:space="preserve"> in Seoul</w:t>
      </w:r>
      <w:r w:rsidR="000A397A">
        <w:rPr>
          <w:rFonts w:hint="eastAsia"/>
          <w:lang w:eastAsia="ja-JP"/>
        </w:rPr>
        <w:t>,</w:t>
      </w:r>
      <w:r>
        <w:rPr>
          <w:rFonts w:hint="eastAsia"/>
          <w:lang w:eastAsia="ja-JP"/>
        </w:rPr>
        <w:t xml:space="preserve"> Doha</w:t>
      </w:r>
      <w:r w:rsidR="000A397A">
        <w:rPr>
          <w:rFonts w:hint="eastAsia"/>
          <w:lang w:eastAsia="ja-JP"/>
        </w:rPr>
        <w:t xml:space="preserve"> and </w:t>
      </w:r>
      <w:r w:rsidR="000A397A">
        <w:rPr>
          <w:lang w:eastAsia="ja-JP"/>
        </w:rPr>
        <w:t>Melbourne</w:t>
      </w:r>
      <w:r>
        <w:rPr>
          <w:rFonts w:hint="eastAsia"/>
          <w:lang w:eastAsia="ja-JP"/>
        </w:rPr>
        <w:t xml:space="preserve">. </w:t>
      </w:r>
    </w:p>
    <w:p w:rsidR="009E29B9" w:rsidRDefault="009E29B9" w:rsidP="00536819">
      <w:pPr>
        <w:rPr>
          <w:lang w:eastAsia="ja-JP"/>
        </w:rPr>
      </w:pPr>
    </w:p>
    <w:p w:rsidR="009F2FFA" w:rsidRDefault="009F2FFA" w:rsidP="009F2FFA">
      <w:pPr>
        <w:pStyle w:val="Heading2"/>
        <w:rPr>
          <w:lang w:eastAsia="ja-JP"/>
        </w:rPr>
      </w:pPr>
      <w:r>
        <w:rPr>
          <w:lang w:eastAsia="ja-JP"/>
        </w:rPr>
        <w:t>Status of JMA</w:t>
      </w:r>
    </w:p>
    <w:p w:rsidR="00BB1A27" w:rsidRDefault="00BB1A27" w:rsidP="00BB1A27">
      <w:pPr>
        <w:rPr>
          <w:lang w:eastAsia="ja-JP"/>
        </w:rPr>
      </w:pPr>
      <w:r w:rsidRPr="00BB1A27">
        <w:rPr>
          <w:lang w:eastAsia="ja-JP"/>
        </w:rPr>
        <w:t xml:space="preserve">As designated in Sixteenth WMO Congress in June 2011, JMA has started </w:t>
      </w:r>
      <w:r>
        <w:rPr>
          <w:rFonts w:hint="eastAsia"/>
          <w:lang w:eastAsia="ja-JP"/>
        </w:rPr>
        <w:t xml:space="preserve">service of GISC Tokyo and </w:t>
      </w:r>
      <w:r w:rsidRPr="00BB1A27">
        <w:rPr>
          <w:lang w:eastAsia="ja-JP"/>
        </w:rPr>
        <w:t>following services of</w:t>
      </w:r>
      <w:r>
        <w:rPr>
          <w:lang w:eastAsia="ja-JP"/>
        </w:rPr>
        <w:t xml:space="preserve"> WIS Centres on 1st August 2011</w:t>
      </w:r>
      <w:r>
        <w:rPr>
          <w:rFonts w:hint="eastAsia"/>
          <w:lang w:eastAsia="ja-JP"/>
        </w:rPr>
        <w:t>.</w:t>
      </w:r>
    </w:p>
    <w:tbl>
      <w:tblPr>
        <w:tblStyle w:val="TableGrid"/>
        <w:tblW w:w="0" w:type="auto"/>
        <w:tblLook w:val="04A0" w:firstRow="1" w:lastRow="0" w:firstColumn="1" w:lastColumn="0" w:noHBand="0" w:noVBand="1"/>
      </w:tblPr>
      <w:tblGrid>
        <w:gridCol w:w="392"/>
        <w:gridCol w:w="4583"/>
        <w:gridCol w:w="4583"/>
      </w:tblGrid>
      <w:tr w:rsidR="00D65A26" w:rsidRPr="00B85CCC" w:rsidTr="000C5202">
        <w:tc>
          <w:tcPr>
            <w:tcW w:w="392" w:type="dxa"/>
            <w:shd w:val="clear" w:color="auto" w:fill="DBE5F1" w:themeFill="accent1" w:themeFillTint="33"/>
          </w:tcPr>
          <w:p w:rsidR="00D65A26" w:rsidRPr="00B85CCC" w:rsidRDefault="00D65A26" w:rsidP="00D33542">
            <w:pPr>
              <w:jc w:val="center"/>
              <w:rPr>
                <w:b/>
                <w:lang w:eastAsia="ja-JP"/>
              </w:rPr>
            </w:pPr>
          </w:p>
        </w:tc>
        <w:tc>
          <w:tcPr>
            <w:tcW w:w="4583" w:type="dxa"/>
            <w:shd w:val="clear" w:color="auto" w:fill="DBE5F1" w:themeFill="accent1" w:themeFillTint="33"/>
          </w:tcPr>
          <w:p w:rsidR="00D65A26" w:rsidRPr="00B85CCC" w:rsidRDefault="000F298F" w:rsidP="000D466A">
            <w:pPr>
              <w:rPr>
                <w:b/>
                <w:lang w:eastAsia="ja-JP"/>
              </w:rPr>
            </w:pPr>
            <w:r w:rsidRPr="00B85CCC">
              <w:rPr>
                <w:rFonts w:hint="eastAsia"/>
                <w:b/>
                <w:lang w:eastAsia="ja-JP"/>
              </w:rPr>
              <w:t>D</w:t>
            </w:r>
            <w:r w:rsidR="000D466A" w:rsidRPr="00B85CCC">
              <w:rPr>
                <w:rFonts w:hint="eastAsia"/>
                <w:b/>
                <w:lang w:eastAsia="ja-JP"/>
              </w:rPr>
              <w:t>C</w:t>
            </w:r>
            <w:r w:rsidRPr="00B85CCC">
              <w:rPr>
                <w:rFonts w:hint="eastAsia"/>
                <w:b/>
                <w:lang w:eastAsia="ja-JP"/>
              </w:rPr>
              <w:t>PC</w:t>
            </w:r>
          </w:p>
        </w:tc>
        <w:tc>
          <w:tcPr>
            <w:tcW w:w="4583" w:type="dxa"/>
            <w:shd w:val="clear" w:color="auto" w:fill="DBE5F1" w:themeFill="accent1" w:themeFillTint="33"/>
          </w:tcPr>
          <w:p w:rsidR="00D65A26" w:rsidRPr="00B85CCC" w:rsidRDefault="000F298F" w:rsidP="00BB1A27">
            <w:pPr>
              <w:rPr>
                <w:b/>
                <w:lang w:eastAsia="ja-JP"/>
              </w:rPr>
            </w:pPr>
            <w:r w:rsidRPr="00B85CCC">
              <w:rPr>
                <w:rFonts w:hint="eastAsia"/>
                <w:b/>
                <w:lang w:eastAsia="ja-JP"/>
              </w:rPr>
              <w:t>Purpose</w:t>
            </w:r>
          </w:p>
        </w:tc>
      </w:tr>
      <w:tr w:rsidR="00D65A26" w:rsidTr="000C5202">
        <w:tc>
          <w:tcPr>
            <w:tcW w:w="392" w:type="dxa"/>
            <w:shd w:val="clear" w:color="auto" w:fill="DBE5F1" w:themeFill="accent1" w:themeFillTint="33"/>
          </w:tcPr>
          <w:p w:rsidR="00D65A26" w:rsidRPr="00B85CCC" w:rsidRDefault="00D65A26" w:rsidP="00D33542">
            <w:pPr>
              <w:jc w:val="center"/>
              <w:rPr>
                <w:b/>
                <w:lang w:eastAsia="ja-JP"/>
              </w:rPr>
            </w:pPr>
            <w:r w:rsidRPr="00B85CCC">
              <w:rPr>
                <w:rFonts w:hint="eastAsia"/>
                <w:b/>
                <w:lang w:eastAsia="ja-JP"/>
              </w:rPr>
              <w:t>1</w:t>
            </w:r>
          </w:p>
        </w:tc>
        <w:tc>
          <w:tcPr>
            <w:tcW w:w="4583" w:type="dxa"/>
          </w:tcPr>
          <w:p w:rsidR="00D65A26" w:rsidRDefault="0086770A" w:rsidP="00BB1A27">
            <w:pPr>
              <w:rPr>
                <w:lang w:eastAsia="ja-JP"/>
              </w:rPr>
            </w:pPr>
            <w:r>
              <w:rPr>
                <w:lang w:eastAsia="ja-JP"/>
              </w:rPr>
              <w:t>RMDC Tokyo - Typhoon Centre</w:t>
            </w:r>
          </w:p>
        </w:tc>
        <w:tc>
          <w:tcPr>
            <w:tcW w:w="4583" w:type="dxa"/>
          </w:tcPr>
          <w:p w:rsidR="00D65A26" w:rsidRDefault="0086770A" w:rsidP="00BB1A27">
            <w:pPr>
              <w:rPr>
                <w:lang w:eastAsia="ja-JP"/>
              </w:rPr>
            </w:pPr>
            <w:r w:rsidRPr="00CD4BEA">
              <w:rPr>
                <w:lang w:eastAsia="ja-JP"/>
              </w:rPr>
              <w:t>Provide information on tropical cyclones in the western North Pacific and South China Sea.</w:t>
            </w:r>
          </w:p>
        </w:tc>
      </w:tr>
      <w:tr w:rsidR="00D65A26" w:rsidTr="000C5202">
        <w:tc>
          <w:tcPr>
            <w:tcW w:w="392" w:type="dxa"/>
            <w:shd w:val="clear" w:color="auto" w:fill="DBE5F1" w:themeFill="accent1" w:themeFillTint="33"/>
          </w:tcPr>
          <w:p w:rsidR="00D65A26" w:rsidRPr="00B85CCC" w:rsidRDefault="00D65A26" w:rsidP="00D33542">
            <w:pPr>
              <w:jc w:val="center"/>
              <w:rPr>
                <w:b/>
                <w:lang w:eastAsia="ja-JP"/>
              </w:rPr>
            </w:pPr>
            <w:r w:rsidRPr="00B85CCC">
              <w:rPr>
                <w:rFonts w:hint="eastAsia"/>
                <w:b/>
                <w:lang w:eastAsia="ja-JP"/>
              </w:rPr>
              <w:lastRenderedPageBreak/>
              <w:t>2</w:t>
            </w:r>
          </w:p>
        </w:tc>
        <w:tc>
          <w:tcPr>
            <w:tcW w:w="4583" w:type="dxa"/>
          </w:tcPr>
          <w:p w:rsidR="00D65A26" w:rsidRDefault="0086770A" w:rsidP="00BB1A27">
            <w:pPr>
              <w:rPr>
                <w:lang w:eastAsia="ja-JP"/>
              </w:rPr>
            </w:pPr>
            <w:r>
              <w:rPr>
                <w:lang w:eastAsia="ja-JP"/>
              </w:rPr>
              <w:t>RMDC Tokyo - Geographical</w:t>
            </w:r>
          </w:p>
        </w:tc>
        <w:tc>
          <w:tcPr>
            <w:tcW w:w="4583" w:type="dxa"/>
          </w:tcPr>
          <w:p w:rsidR="00D65A26" w:rsidRPr="0086770A" w:rsidRDefault="0086770A" w:rsidP="00BB1A27">
            <w:pPr>
              <w:rPr>
                <w:lang w:eastAsia="ja-JP"/>
              </w:rPr>
            </w:pPr>
            <w:r w:rsidRPr="00CD4BEA">
              <w:rPr>
                <w:lang w:eastAsia="ja-JP"/>
              </w:rPr>
              <w:t>Produce regional analysis and short-term forecast.</w:t>
            </w:r>
          </w:p>
        </w:tc>
      </w:tr>
      <w:tr w:rsidR="00D65A26" w:rsidTr="000C5202">
        <w:tc>
          <w:tcPr>
            <w:tcW w:w="392" w:type="dxa"/>
            <w:shd w:val="clear" w:color="auto" w:fill="DBE5F1" w:themeFill="accent1" w:themeFillTint="33"/>
          </w:tcPr>
          <w:p w:rsidR="00D65A26" w:rsidRPr="00B85CCC" w:rsidRDefault="00D65A26" w:rsidP="00D33542">
            <w:pPr>
              <w:jc w:val="center"/>
              <w:rPr>
                <w:b/>
                <w:lang w:eastAsia="ja-JP"/>
              </w:rPr>
            </w:pPr>
            <w:r w:rsidRPr="00B85CCC">
              <w:rPr>
                <w:rFonts w:hint="eastAsia"/>
                <w:b/>
                <w:lang w:eastAsia="ja-JP"/>
              </w:rPr>
              <w:t>3</w:t>
            </w:r>
          </w:p>
        </w:tc>
        <w:tc>
          <w:tcPr>
            <w:tcW w:w="4583" w:type="dxa"/>
          </w:tcPr>
          <w:p w:rsidR="00D65A26" w:rsidRDefault="0086770A" w:rsidP="00BB1A27">
            <w:pPr>
              <w:rPr>
                <w:lang w:eastAsia="ja-JP"/>
              </w:rPr>
            </w:pPr>
            <w:r>
              <w:rPr>
                <w:lang w:eastAsia="ja-JP"/>
              </w:rPr>
              <w:t>RMDC Tokyo - ATM/EER Centre</w:t>
            </w:r>
          </w:p>
        </w:tc>
        <w:tc>
          <w:tcPr>
            <w:tcW w:w="4583" w:type="dxa"/>
          </w:tcPr>
          <w:p w:rsidR="00D65A26" w:rsidRDefault="0086770A" w:rsidP="00BB1A27">
            <w:pPr>
              <w:rPr>
                <w:lang w:eastAsia="ja-JP"/>
              </w:rPr>
            </w:pPr>
            <w:r w:rsidRPr="008276AC">
              <w:rPr>
                <w:lang w:eastAsia="ja-JP"/>
              </w:rPr>
              <w:t>Produce transport simulation of hazardous substances in the atmosphere.</w:t>
            </w:r>
          </w:p>
        </w:tc>
      </w:tr>
      <w:tr w:rsidR="00D65A26" w:rsidTr="000C5202">
        <w:tc>
          <w:tcPr>
            <w:tcW w:w="392" w:type="dxa"/>
            <w:shd w:val="clear" w:color="auto" w:fill="DBE5F1" w:themeFill="accent1" w:themeFillTint="33"/>
          </w:tcPr>
          <w:p w:rsidR="00D65A26" w:rsidRPr="00B85CCC" w:rsidRDefault="00D65A26" w:rsidP="00D33542">
            <w:pPr>
              <w:jc w:val="center"/>
              <w:rPr>
                <w:b/>
                <w:lang w:eastAsia="ja-JP"/>
              </w:rPr>
            </w:pPr>
            <w:r w:rsidRPr="00B85CCC">
              <w:rPr>
                <w:rFonts w:hint="eastAsia"/>
                <w:b/>
                <w:lang w:eastAsia="ja-JP"/>
              </w:rPr>
              <w:t>4</w:t>
            </w:r>
          </w:p>
        </w:tc>
        <w:tc>
          <w:tcPr>
            <w:tcW w:w="4583" w:type="dxa"/>
          </w:tcPr>
          <w:p w:rsidR="00D65A26" w:rsidRDefault="0086770A" w:rsidP="00BB1A27">
            <w:pPr>
              <w:rPr>
                <w:lang w:eastAsia="ja-JP"/>
              </w:rPr>
            </w:pPr>
            <w:r>
              <w:rPr>
                <w:lang w:eastAsia="ja-JP"/>
              </w:rPr>
              <w:t>The Meteorological Satellite Center</w:t>
            </w:r>
          </w:p>
        </w:tc>
        <w:tc>
          <w:tcPr>
            <w:tcW w:w="4583" w:type="dxa"/>
          </w:tcPr>
          <w:p w:rsidR="00D65A26" w:rsidRDefault="0086770A" w:rsidP="00BB1A27">
            <w:pPr>
              <w:rPr>
                <w:lang w:eastAsia="ja-JP"/>
              </w:rPr>
            </w:pPr>
            <w:r w:rsidRPr="0029454D">
              <w:rPr>
                <w:lang w:eastAsia="ja-JP"/>
              </w:rPr>
              <w:t>Operate geostationary satellites and disseminate its imagery.</w:t>
            </w:r>
          </w:p>
        </w:tc>
      </w:tr>
      <w:tr w:rsidR="00D65A26" w:rsidTr="000C5202">
        <w:tc>
          <w:tcPr>
            <w:tcW w:w="392" w:type="dxa"/>
            <w:shd w:val="clear" w:color="auto" w:fill="DBE5F1" w:themeFill="accent1" w:themeFillTint="33"/>
          </w:tcPr>
          <w:p w:rsidR="00D65A26" w:rsidRPr="00B85CCC" w:rsidRDefault="00D65A26" w:rsidP="00D33542">
            <w:pPr>
              <w:jc w:val="center"/>
              <w:rPr>
                <w:b/>
                <w:lang w:eastAsia="ja-JP"/>
              </w:rPr>
            </w:pPr>
            <w:r w:rsidRPr="00B85CCC">
              <w:rPr>
                <w:rFonts w:hint="eastAsia"/>
                <w:b/>
                <w:lang w:eastAsia="ja-JP"/>
              </w:rPr>
              <w:t>5</w:t>
            </w:r>
          </w:p>
        </w:tc>
        <w:tc>
          <w:tcPr>
            <w:tcW w:w="4583" w:type="dxa"/>
          </w:tcPr>
          <w:p w:rsidR="00D65A26" w:rsidRDefault="0086770A" w:rsidP="00BB1A27">
            <w:pPr>
              <w:rPr>
                <w:lang w:eastAsia="ja-JP"/>
              </w:rPr>
            </w:pPr>
            <w:r>
              <w:rPr>
                <w:lang w:eastAsia="ja-JP"/>
              </w:rPr>
              <w:t>The Regional Climate Centre (Tokyo Climate Center)</w:t>
            </w:r>
          </w:p>
        </w:tc>
        <w:tc>
          <w:tcPr>
            <w:tcW w:w="4583" w:type="dxa"/>
          </w:tcPr>
          <w:p w:rsidR="00D65A26" w:rsidRDefault="0086770A" w:rsidP="00BB1A27">
            <w:pPr>
              <w:rPr>
                <w:lang w:eastAsia="ja-JP"/>
              </w:rPr>
            </w:pPr>
            <w:r w:rsidRPr="00F424EA">
              <w:rPr>
                <w:lang w:eastAsia="ja-JP"/>
              </w:rPr>
              <w:t>Provide climate products to support climate services of NMHSs in the Asia-Pacific region.</w:t>
            </w:r>
          </w:p>
        </w:tc>
      </w:tr>
      <w:tr w:rsidR="00D65A26" w:rsidTr="000C5202">
        <w:tc>
          <w:tcPr>
            <w:tcW w:w="392" w:type="dxa"/>
            <w:shd w:val="clear" w:color="auto" w:fill="DBE5F1" w:themeFill="accent1" w:themeFillTint="33"/>
          </w:tcPr>
          <w:p w:rsidR="00D65A26" w:rsidRPr="00B85CCC" w:rsidRDefault="00D65A26" w:rsidP="00D33542">
            <w:pPr>
              <w:jc w:val="center"/>
              <w:rPr>
                <w:b/>
                <w:lang w:eastAsia="ja-JP"/>
              </w:rPr>
            </w:pPr>
            <w:r w:rsidRPr="00B85CCC">
              <w:rPr>
                <w:rFonts w:hint="eastAsia"/>
                <w:b/>
                <w:lang w:eastAsia="ja-JP"/>
              </w:rPr>
              <w:t>6</w:t>
            </w:r>
          </w:p>
        </w:tc>
        <w:tc>
          <w:tcPr>
            <w:tcW w:w="4583" w:type="dxa"/>
          </w:tcPr>
          <w:p w:rsidR="00D65A26" w:rsidRDefault="0086770A" w:rsidP="00BB1A27">
            <w:pPr>
              <w:rPr>
                <w:lang w:eastAsia="ja-JP"/>
              </w:rPr>
            </w:pPr>
            <w:r>
              <w:rPr>
                <w:lang w:eastAsia="ja-JP"/>
              </w:rPr>
              <w:t>The Global Producing Centre for Long-range Forecasts</w:t>
            </w:r>
          </w:p>
        </w:tc>
        <w:tc>
          <w:tcPr>
            <w:tcW w:w="4583" w:type="dxa"/>
          </w:tcPr>
          <w:p w:rsidR="00D65A26" w:rsidRDefault="0086770A" w:rsidP="00BB1A27">
            <w:pPr>
              <w:rPr>
                <w:lang w:eastAsia="ja-JP"/>
              </w:rPr>
            </w:pPr>
            <w:r w:rsidRPr="000E5001">
              <w:rPr>
                <w:lang w:eastAsia="ja-JP"/>
              </w:rPr>
              <w:t>Provide long-range forecast.</w:t>
            </w:r>
          </w:p>
        </w:tc>
      </w:tr>
      <w:tr w:rsidR="00D65A26" w:rsidTr="000C5202">
        <w:tc>
          <w:tcPr>
            <w:tcW w:w="392" w:type="dxa"/>
            <w:shd w:val="clear" w:color="auto" w:fill="DBE5F1" w:themeFill="accent1" w:themeFillTint="33"/>
          </w:tcPr>
          <w:p w:rsidR="00D65A26" w:rsidRPr="00B85CCC" w:rsidRDefault="00D65A26" w:rsidP="00D33542">
            <w:pPr>
              <w:jc w:val="center"/>
              <w:rPr>
                <w:b/>
                <w:lang w:eastAsia="ja-JP"/>
              </w:rPr>
            </w:pPr>
            <w:r w:rsidRPr="00B85CCC">
              <w:rPr>
                <w:rFonts w:hint="eastAsia"/>
                <w:b/>
                <w:lang w:eastAsia="ja-JP"/>
              </w:rPr>
              <w:t>7</w:t>
            </w:r>
          </w:p>
        </w:tc>
        <w:tc>
          <w:tcPr>
            <w:tcW w:w="4583" w:type="dxa"/>
          </w:tcPr>
          <w:p w:rsidR="00D65A26" w:rsidRDefault="0086770A" w:rsidP="00BB1A27">
            <w:pPr>
              <w:rPr>
                <w:lang w:eastAsia="ja-JP"/>
              </w:rPr>
            </w:pPr>
            <w:r>
              <w:rPr>
                <w:lang w:eastAsia="ja-JP"/>
              </w:rPr>
              <w:t>The World Data Centre for Greenhouse Gases</w:t>
            </w:r>
          </w:p>
        </w:tc>
        <w:tc>
          <w:tcPr>
            <w:tcW w:w="4583" w:type="dxa"/>
          </w:tcPr>
          <w:p w:rsidR="00D65A26" w:rsidRDefault="0086770A" w:rsidP="00BB1A27">
            <w:pPr>
              <w:rPr>
                <w:lang w:eastAsia="ja-JP"/>
              </w:rPr>
            </w:pPr>
            <w:r w:rsidRPr="00962015">
              <w:rPr>
                <w:lang w:eastAsia="ja-JP"/>
              </w:rPr>
              <w:t>Collect, archive and provide data on greenhouse gases and related gases.</w:t>
            </w:r>
          </w:p>
        </w:tc>
      </w:tr>
      <w:tr w:rsidR="00D65A26" w:rsidTr="000C5202">
        <w:tc>
          <w:tcPr>
            <w:tcW w:w="392" w:type="dxa"/>
            <w:shd w:val="clear" w:color="auto" w:fill="DBE5F1" w:themeFill="accent1" w:themeFillTint="33"/>
          </w:tcPr>
          <w:p w:rsidR="00D65A26" w:rsidRPr="00B85CCC" w:rsidRDefault="00D65A26" w:rsidP="00D33542">
            <w:pPr>
              <w:jc w:val="center"/>
              <w:rPr>
                <w:b/>
                <w:lang w:eastAsia="ja-JP"/>
              </w:rPr>
            </w:pPr>
            <w:r w:rsidRPr="00B85CCC">
              <w:rPr>
                <w:rFonts w:hint="eastAsia"/>
                <w:b/>
                <w:lang w:eastAsia="ja-JP"/>
              </w:rPr>
              <w:t>8</w:t>
            </w:r>
          </w:p>
        </w:tc>
        <w:tc>
          <w:tcPr>
            <w:tcW w:w="4583" w:type="dxa"/>
          </w:tcPr>
          <w:p w:rsidR="00D65A26" w:rsidRDefault="0086770A" w:rsidP="00BB1A27">
            <w:pPr>
              <w:rPr>
                <w:lang w:eastAsia="ja-JP"/>
              </w:rPr>
            </w:pPr>
            <w:r>
              <w:rPr>
                <w:lang w:eastAsia="ja-JP"/>
              </w:rPr>
              <w:t>The Regional Telecommunication Hub</w:t>
            </w:r>
          </w:p>
        </w:tc>
        <w:tc>
          <w:tcPr>
            <w:tcW w:w="4583" w:type="dxa"/>
          </w:tcPr>
          <w:p w:rsidR="00D65A26" w:rsidRDefault="0086770A" w:rsidP="00BB1A27">
            <w:pPr>
              <w:rPr>
                <w:lang w:eastAsia="ja-JP"/>
              </w:rPr>
            </w:pPr>
            <w:r w:rsidRPr="00962015">
              <w:rPr>
                <w:lang w:eastAsia="ja-JP"/>
              </w:rPr>
              <w:t>Collect, distribute, and exchange data and products on GTS.</w:t>
            </w:r>
          </w:p>
        </w:tc>
      </w:tr>
    </w:tbl>
    <w:p w:rsidR="00D65A26" w:rsidRPr="00BB1A27" w:rsidRDefault="00D65A26" w:rsidP="00BB1A27">
      <w:pPr>
        <w:rPr>
          <w:lang w:eastAsia="ja-JP"/>
        </w:rPr>
      </w:pPr>
    </w:p>
    <w:p w:rsidR="009F2FFA" w:rsidRDefault="009F2FFA" w:rsidP="009F2FFA">
      <w:pPr>
        <w:pStyle w:val="Heading2"/>
        <w:rPr>
          <w:lang w:eastAsia="ja-JP"/>
        </w:rPr>
      </w:pPr>
      <w:r>
        <w:rPr>
          <w:lang w:eastAsia="ja-JP"/>
        </w:rPr>
        <w:t>GISC Tokyo's services</w:t>
      </w:r>
    </w:p>
    <w:p w:rsidR="00B835BC" w:rsidRPr="00B835BC" w:rsidRDefault="00B835BC" w:rsidP="00B835BC">
      <w:pPr>
        <w:rPr>
          <w:lang w:eastAsia="ja-JP"/>
        </w:rPr>
      </w:pPr>
      <w:r>
        <w:rPr>
          <w:rFonts w:hint="eastAsia"/>
          <w:lang w:eastAsia="ja-JP"/>
        </w:rPr>
        <w:t xml:space="preserve">GISC Tokyo has been </w:t>
      </w:r>
      <w:r>
        <w:rPr>
          <w:lang w:eastAsia="ja-JP"/>
        </w:rPr>
        <w:t>operating</w:t>
      </w:r>
      <w:r>
        <w:rPr>
          <w:rFonts w:hint="eastAsia"/>
          <w:lang w:eastAsia="ja-JP"/>
        </w:rPr>
        <w:t xml:space="preserve"> traditional GTS as </w:t>
      </w:r>
      <w:r w:rsidR="00E66A53">
        <w:rPr>
          <w:rFonts w:hint="eastAsia"/>
          <w:lang w:eastAsia="ja-JP"/>
        </w:rPr>
        <w:t xml:space="preserve">WIS </w:t>
      </w:r>
      <w:r>
        <w:rPr>
          <w:rFonts w:hint="eastAsia"/>
          <w:lang w:eastAsia="ja-JP"/>
        </w:rPr>
        <w:t>Part</w:t>
      </w:r>
      <w:r w:rsidR="000B5C0F">
        <w:rPr>
          <w:rFonts w:hint="eastAsia"/>
          <w:lang w:eastAsia="ja-JP"/>
        </w:rPr>
        <w:t>-</w:t>
      </w:r>
      <w:r>
        <w:rPr>
          <w:rFonts w:hint="eastAsia"/>
          <w:lang w:eastAsia="ja-JP"/>
        </w:rPr>
        <w:t xml:space="preserve">A </w:t>
      </w:r>
      <w:r>
        <w:rPr>
          <w:lang w:eastAsia="ja-JP"/>
        </w:rPr>
        <w:t>and</w:t>
      </w:r>
      <w:r>
        <w:rPr>
          <w:rFonts w:hint="eastAsia"/>
          <w:lang w:eastAsia="ja-JP"/>
        </w:rPr>
        <w:t xml:space="preserve"> services</w:t>
      </w:r>
      <w:r w:rsidR="000B5C0F">
        <w:rPr>
          <w:rFonts w:hint="eastAsia"/>
          <w:lang w:eastAsia="ja-JP"/>
        </w:rPr>
        <w:t xml:space="preserve"> of </w:t>
      </w:r>
      <w:r w:rsidR="00180EE5">
        <w:rPr>
          <w:rFonts w:hint="eastAsia"/>
          <w:lang w:eastAsia="ja-JP"/>
        </w:rPr>
        <w:t xml:space="preserve">WIS </w:t>
      </w:r>
      <w:r w:rsidR="000B5C0F">
        <w:rPr>
          <w:rFonts w:hint="eastAsia"/>
          <w:lang w:eastAsia="ja-JP"/>
        </w:rPr>
        <w:t>Part-B</w:t>
      </w:r>
      <w:r>
        <w:rPr>
          <w:rFonts w:hint="eastAsia"/>
          <w:lang w:eastAsia="ja-JP"/>
        </w:rPr>
        <w:t>.</w:t>
      </w:r>
    </w:p>
    <w:p w:rsidR="00D94E82" w:rsidRDefault="00D94E82" w:rsidP="00D94E82">
      <w:pPr>
        <w:rPr>
          <w:lang w:eastAsia="ja-JP"/>
        </w:rPr>
      </w:pPr>
      <w:r>
        <w:rPr>
          <w:lang w:eastAsia="ja-JP"/>
        </w:rPr>
        <w:t>Part-A</w:t>
      </w:r>
    </w:p>
    <w:p w:rsidR="00D94E82" w:rsidRDefault="00D94E82" w:rsidP="00D94E82">
      <w:pPr>
        <w:pStyle w:val="ListParagraph"/>
        <w:numPr>
          <w:ilvl w:val="0"/>
          <w:numId w:val="9"/>
        </w:numPr>
        <w:rPr>
          <w:lang w:eastAsia="ja-JP"/>
        </w:rPr>
      </w:pPr>
      <w:r>
        <w:rPr>
          <w:lang w:eastAsia="ja-JP"/>
        </w:rPr>
        <w:t>Global Telecommunication System (GTS)</w:t>
      </w:r>
    </w:p>
    <w:p w:rsidR="00D94E82" w:rsidRDefault="00D94E82" w:rsidP="00D94E82">
      <w:pPr>
        <w:rPr>
          <w:lang w:eastAsia="ja-JP"/>
        </w:rPr>
      </w:pPr>
      <w:r>
        <w:rPr>
          <w:lang w:eastAsia="ja-JP"/>
        </w:rPr>
        <w:t>Part-B</w:t>
      </w:r>
    </w:p>
    <w:p w:rsidR="00D76F5E" w:rsidRDefault="00D76F5E" w:rsidP="00D94E82">
      <w:pPr>
        <w:pStyle w:val="ListParagraph"/>
        <w:numPr>
          <w:ilvl w:val="0"/>
          <w:numId w:val="9"/>
        </w:numPr>
        <w:rPr>
          <w:lang w:eastAsia="ja-JP"/>
        </w:rPr>
      </w:pPr>
      <w:r>
        <w:rPr>
          <w:rFonts w:hint="eastAsia"/>
          <w:lang w:eastAsia="ja-JP"/>
        </w:rPr>
        <w:t>Metadata</w:t>
      </w:r>
      <w:r w:rsidR="008163C9">
        <w:rPr>
          <w:rFonts w:hint="eastAsia"/>
          <w:lang w:eastAsia="ja-JP"/>
        </w:rPr>
        <w:t xml:space="preserve"> </w:t>
      </w:r>
      <w:r w:rsidR="00797B1D">
        <w:rPr>
          <w:rFonts w:hint="eastAsia"/>
          <w:lang w:eastAsia="ja-JP"/>
        </w:rPr>
        <w:t>maintenance for area</w:t>
      </w:r>
      <w:r w:rsidR="00365155">
        <w:rPr>
          <w:rFonts w:hint="eastAsia"/>
          <w:lang w:eastAsia="ja-JP"/>
        </w:rPr>
        <w:t xml:space="preserve"> of </w:t>
      </w:r>
      <w:r w:rsidR="0040618F">
        <w:rPr>
          <w:lang w:eastAsia="ja-JP"/>
        </w:rPr>
        <w:t>responsibility</w:t>
      </w:r>
    </w:p>
    <w:p w:rsidR="00D76F5E" w:rsidRDefault="00E439E5" w:rsidP="00D94E82">
      <w:pPr>
        <w:pStyle w:val="ListParagraph"/>
        <w:numPr>
          <w:ilvl w:val="0"/>
          <w:numId w:val="9"/>
        </w:numPr>
        <w:rPr>
          <w:lang w:eastAsia="ja-JP"/>
        </w:rPr>
      </w:pPr>
      <w:r w:rsidRPr="00E439E5">
        <w:rPr>
          <w:lang w:eastAsia="ja-JP"/>
        </w:rPr>
        <w:t>WMO interim metadata management service</w:t>
      </w:r>
    </w:p>
    <w:p w:rsidR="00D94E82" w:rsidRDefault="00D94E82" w:rsidP="00D94E82">
      <w:pPr>
        <w:pStyle w:val="ListParagraph"/>
        <w:numPr>
          <w:ilvl w:val="0"/>
          <w:numId w:val="9"/>
        </w:numPr>
        <w:rPr>
          <w:lang w:eastAsia="ja-JP"/>
        </w:rPr>
      </w:pPr>
      <w:r>
        <w:rPr>
          <w:lang w:eastAsia="ja-JP"/>
        </w:rPr>
        <w:t xml:space="preserve">Discovery, Access and Retrieval (DAR) </w:t>
      </w:r>
    </w:p>
    <w:p w:rsidR="00D94E82" w:rsidRDefault="00D94E82" w:rsidP="00D94E82">
      <w:pPr>
        <w:pStyle w:val="ListParagraph"/>
        <w:numPr>
          <w:ilvl w:val="0"/>
          <w:numId w:val="9"/>
        </w:numPr>
        <w:rPr>
          <w:lang w:eastAsia="ja-JP"/>
        </w:rPr>
      </w:pPr>
      <w:r>
        <w:rPr>
          <w:lang w:eastAsia="ja-JP"/>
        </w:rPr>
        <w:t>GISC Cache</w:t>
      </w:r>
    </w:p>
    <w:p w:rsidR="00D94E82" w:rsidRDefault="00D94E82" w:rsidP="00D94E82">
      <w:pPr>
        <w:pStyle w:val="ListParagraph"/>
        <w:numPr>
          <w:ilvl w:val="0"/>
          <w:numId w:val="9"/>
        </w:numPr>
        <w:rPr>
          <w:lang w:eastAsia="ja-JP"/>
        </w:rPr>
      </w:pPr>
      <w:r>
        <w:rPr>
          <w:lang w:eastAsia="ja-JP"/>
        </w:rPr>
        <w:t>Subscription</w:t>
      </w:r>
    </w:p>
    <w:p w:rsidR="008F53E0" w:rsidRDefault="00366186" w:rsidP="008163C9">
      <w:pPr>
        <w:rPr>
          <w:lang w:eastAsia="ja-JP"/>
        </w:rPr>
      </w:pPr>
      <w:r>
        <w:rPr>
          <w:rFonts w:hint="eastAsia"/>
          <w:lang w:eastAsia="ja-JP"/>
        </w:rPr>
        <w:t xml:space="preserve"> </w:t>
      </w:r>
      <w:r w:rsidR="003561FD">
        <w:rPr>
          <w:lang w:eastAsia="ja-JP"/>
        </w:rPr>
        <w:t>A</w:t>
      </w:r>
      <w:r w:rsidR="003561FD">
        <w:rPr>
          <w:rFonts w:hint="eastAsia"/>
          <w:lang w:eastAsia="ja-JP"/>
        </w:rPr>
        <w:t xml:space="preserve">lso GISC Tokyo has been </w:t>
      </w:r>
      <w:r w:rsidR="003561FD">
        <w:rPr>
          <w:lang w:eastAsia="ja-JP"/>
        </w:rPr>
        <w:t>disseminati</w:t>
      </w:r>
      <w:r w:rsidR="003561FD">
        <w:rPr>
          <w:rFonts w:hint="eastAsia"/>
          <w:lang w:eastAsia="ja-JP"/>
        </w:rPr>
        <w:t xml:space="preserve">ng </w:t>
      </w:r>
      <w:r w:rsidR="003561FD">
        <w:rPr>
          <w:lang w:eastAsia="ja-JP"/>
        </w:rPr>
        <w:t>following</w:t>
      </w:r>
      <w:r w:rsidR="003561FD">
        <w:rPr>
          <w:rFonts w:hint="eastAsia"/>
          <w:lang w:eastAsia="ja-JP"/>
        </w:rPr>
        <w:t xml:space="preserve"> data files</w:t>
      </w:r>
      <w:r w:rsidR="003561FD">
        <w:rPr>
          <w:lang w:eastAsia="ja-JP"/>
        </w:rPr>
        <w:t>…</w:t>
      </w:r>
    </w:p>
    <w:p w:rsidR="00D94E82" w:rsidRDefault="00D94E82" w:rsidP="00D94E82">
      <w:pPr>
        <w:pStyle w:val="ListParagraph"/>
        <w:numPr>
          <w:ilvl w:val="0"/>
          <w:numId w:val="9"/>
        </w:numPr>
        <w:rPr>
          <w:lang w:eastAsia="ja-JP"/>
        </w:rPr>
      </w:pPr>
      <w:r>
        <w:rPr>
          <w:lang w:eastAsia="ja-JP"/>
        </w:rPr>
        <w:t>SATAID Service (MTSAT Imagery and NWP products for SATAID software)</w:t>
      </w:r>
    </w:p>
    <w:p w:rsidR="00D94E82" w:rsidRDefault="00D94E82" w:rsidP="00D94E82">
      <w:pPr>
        <w:pStyle w:val="ListParagraph"/>
        <w:numPr>
          <w:ilvl w:val="0"/>
          <w:numId w:val="9"/>
        </w:numPr>
        <w:rPr>
          <w:lang w:eastAsia="ja-JP"/>
        </w:rPr>
      </w:pPr>
      <w:r>
        <w:rPr>
          <w:lang w:eastAsia="ja-JP"/>
        </w:rPr>
        <w:t>High-Resolution GSM data</w:t>
      </w:r>
    </w:p>
    <w:p w:rsidR="003763A2" w:rsidRPr="00D94E82" w:rsidRDefault="003763A2" w:rsidP="003763A2">
      <w:pPr>
        <w:pStyle w:val="ListParagraph"/>
        <w:ind w:left="420"/>
        <w:rPr>
          <w:lang w:eastAsia="ja-JP"/>
        </w:rPr>
      </w:pPr>
    </w:p>
    <w:p w:rsidR="009F2FFA" w:rsidRDefault="009F2FFA" w:rsidP="009F2FFA">
      <w:pPr>
        <w:pStyle w:val="Heading2"/>
        <w:rPr>
          <w:lang w:eastAsia="ja-JP"/>
        </w:rPr>
      </w:pPr>
      <w:r>
        <w:rPr>
          <w:lang w:eastAsia="ja-JP"/>
        </w:rPr>
        <w:t>Status of user registration</w:t>
      </w:r>
      <w:r w:rsidR="00F102FC">
        <w:rPr>
          <w:rFonts w:hint="eastAsia"/>
          <w:lang w:eastAsia="ja-JP"/>
        </w:rPr>
        <w:t xml:space="preserve"> and </w:t>
      </w:r>
      <w:r w:rsidR="00F102FC">
        <w:rPr>
          <w:lang w:eastAsia="ja-JP"/>
        </w:rPr>
        <w:t>usage</w:t>
      </w:r>
    </w:p>
    <w:p w:rsidR="00671D92" w:rsidRDefault="00671D92" w:rsidP="00671D92">
      <w:pPr>
        <w:rPr>
          <w:lang w:eastAsia="ja-JP"/>
        </w:rPr>
      </w:pPr>
      <w:r>
        <w:rPr>
          <w:lang w:eastAsia="ja-JP"/>
        </w:rPr>
        <w:t>C</w:t>
      </w:r>
      <w:r>
        <w:rPr>
          <w:rFonts w:hint="eastAsia"/>
          <w:lang w:eastAsia="ja-JP"/>
        </w:rPr>
        <w:t>urrently</w:t>
      </w:r>
      <w:r w:rsidR="00286940">
        <w:rPr>
          <w:rFonts w:hint="eastAsia"/>
          <w:lang w:eastAsia="ja-JP"/>
        </w:rPr>
        <w:t>,</w:t>
      </w:r>
      <w:r>
        <w:rPr>
          <w:rFonts w:hint="eastAsia"/>
          <w:lang w:eastAsia="ja-JP"/>
        </w:rPr>
        <w:t xml:space="preserve"> </w:t>
      </w:r>
      <w:r w:rsidR="00286940">
        <w:rPr>
          <w:rFonts w:hint="eastAsia"/>
          <w:lang w:eastAsia="ja-JP"/>
        </w:rPr>
        <w:t xml:space="preserve">GISC Tokyo </w:t>
      </w:r>
      <w:proofErr w:type="gramStart"/>
      <w:r w:rsidR="001D2EAC">
        <w:rPr>
          <w:rFonts w:hint="eastAsia"/>
          <w:lang w:eastAsia="ja-JP"/>
        </w:rPr>
        <w:t>provide</w:t>
      </w:r>
      <w:proofErr w:type="gramEnd"/>
      <w:r w:rsidR="001D2EAC">
        <w:rPr>
          <w:rFonts w:hint="eastAsia"/>
          <w:lang w:eastAsia="ja-JP"/>
        </w:rPr>
        <w:t xml:space="preserve"> 76 user account</w:t>
      </w:r>
      <w:r w:rsidR="00A72D73">
        <w:rPr>
          <w:rFonts w:hint="eastAsia"/>
          <w:lang w:eastAsia="ja-JP"/>
        </w:rPr>
        <w:t>s</w:t>
      </w:r>
      <w:r w:rsidR="001D2EAC">
        <w:rPr>
          <w:rFonts w:hint="eastAsia"/>
          <w:lang w:eastAsia="ja-JP"/>
        </w:rPr>
        <w:t xml:space="preserve"> from </w:t>
      </w:r>
      <w:r w:rsidR="002E5434">
        <w:rPr>
          <w:rFonts w:hint="eastAsia"/>
          <w:lang w:eastAsia="ja-JP"/>
        </w:rPr>
        <w:t>41</w:t>
      </w:r>
      <w:r w:rsidR="008C3CF3">
        <w:rPr>
          <w:rFonts w:hint="eastAsia"/>
          <w:lang w:eastAsia="ja-JP"/>
        </w:rPr>
        <w:t xml:space="preserve"> members of WMO.</w:t>
      </w:r>
    </w:p>
    <w:p w:rsidR="007D02BF" w:rsidRDefault="004231BE" w:rsidP="00A72D73">
      <w:pPr>
        <w:jc w:val="center"/>
        <w:rPr>
          <w:lang w:eastAsia="ja-JP"/>
        </w:rPr>
      </w:pPr>
      <w:r w:rsidRPr="004231BE">
        <w:rPr>
          <w:noProof/>
          <w:lang w:val="en-GB" w:eastAsia="zh-CN"/>
        </w:rPr>
        <w:lastRenderedPageBreak/>
        <w:drawing>
          <wp:inline distT="0" distB="0" distL="0" distR="0">
            <wp:extent cx="4683461" cy="2484408"/>
            <wp:effectExtent l="19050" t="0" r="21889" b="0"/>
            <wp:docPr id="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2D73" w:rsidRDefault="00A72D73" w:rsidP="00A72D73">
      <w:pPr>
        <w:jc w:val="center"/>
        <w:rPr>
          <w:lang w:eastAsia="ja-JP"/>
        </w:rPr>
      </w:pPr>
      <w:r>
        <w:rPr>
          <w:rFonts w:hint="eastAsia"/>
          <w:lang w:eastAsia="ja-JP"/>
        </w:rPr>
        <w:t xml:space="preserve">User Accounts </w:t>
      </w:r>
      <w:r w:rsidR="00E13000">
        <w:rPr>
          <w:rFonts w:hint="eastAsia"/>
          <w:lang w:eastAsia="ja-JP"/>
        </w:rPr>
        <w:t xml:space="preserve">by Regional Area </w:t>
      </w:r>
      <w:r w:rsidR="002445B6">
        <w:rPr>
          <w:rFonts w:hint="eastAsia"/>
          <w:lang w:eastAsia="ja-JP"/>
        </w:rPr>
        <w:t>(</w:t>
      </w:r>
      <w:r>
        <w:rPr>
          <w:rFonts w:hint="eastAsia"/>
          <w:lang w:eastAsia="ja-JP"/>
        </w:rPr>
        <w:t>except International organization</w:t>
      </w:r>
      <w:r w:rsidR="002445B6">
        <w:rPr>
          <w:rFonts w:hint="eastAsia"/>
          <w:lang w:eastAsia="ja-JP"/>
        </w:rPr>
        <w:t>)</w:t>
      </w:r>
    </w:p>
    <w:p w:rsidR="003C713A" w:rsidRDefault="003C713A" w:rsidP="00A72D73">
      <w:pPr>
        <w:jc w:val="center"/>
        <w:rPr>
          <w:lang w:eastAsia="ja-JP"/>
        </w:rPr>
      </w:pPr>
    </w:p>
    <w:p w:rsidR="002C7178" w:rsidRDefault="001B7BFC" w:rsidP="00671D92">
      <w:pPr>
        <w:rPr>
          <w:lang w:eastAsia="ja-JP"/>
        </w:rPr>
      </w:pPr>
      <w:r>
        <w:rPr>
          <w:rFonts w:hint="eastAsia"/>
          <w:lang w:eastAsia="ja-JP"/>
        </w:rPr>
        <w:t xml:space="preserve">GISC Tokyo </w:t>
      </w:r>
      <w:proofErr w:type="gramStart"/>
      <w:r w:rsidR="00B70DC7">
        <w:rPr>
          <w:lang w:eastAsia="ja-JP"/>
        </w:rPr>
        <w:t>disseminate</w:t>
      </w:r>
      <w:proofErr w:type="gramEnd"/>
      <w:r w:rsidR="00B70DC7">
        <w:rPr>
          <w:rFonts w:hint="eastAsia"/>
          <w:lang w:eastAsia="ja-JP"/>
        </w:rPr>
        <w:t xml:space="preserve"> </w:t>
      </w:r>
      <w:r w:rsidR="00DA4CBF">
        <w:rPr>
          <w:rFonts w:hint="eastAsia"/>
          <w:lang w:eastAsia="ja-JP"/>
        </w:rPr>
        <w:t xml:space="preserve">data files </w:t>
      </w:r>
      <w:r w:rsidR="004E31D6">
        <w:rPr>
          <w:rFonts w:hint="eastAsia"/>
          <w:lang w:eastAsia="ja-JP"/>
        </w:rPr>
        <w:t>about</w:t>
      </w:r>
      <w:r w:rsidR="00B70DC7">
        <w:rPr>
          <w:rFonts w:hint="eastAsia"/>
          <w:lang w:eastAsia="ja-JP"/>
        </w:rPr>
        <w:t xml:space="preserve"> </w:t>
      </w:r>
      <w:r w:rsidR="00D606E7">
        <w:rPr>
          <w:rFonts w:hint="eastAsia"/>
          <w:lang w:eastAsia="ja-JP"/>
        </w:rPr>
        <w:t>1</w:t>
      </w:r>
      <w:r w:rsidR="00B70DC7">
        <w:rPr>
          <w:rFonts w:hint="eastAsia"/>
          <w:lang w:eastAsia="ja-JP"/>
        </w:rPr>
        <w:t>00</w:t>
      </w:r>
      <w:r w:rsidR="007C2A7D">
        <w:rPr>
          <w:rFonts w:hint="eastAsia"/>
          <w:lang w:eastAsia="ja-JP"/>
        </w:rPr>
        <w:t xml:space="preserve"> </w:t>
      </w:r>
      <w:r w:rsidR="00B70DC7">
        <w:rPr>
          <w:rFonts w:hint="eastAsia"/>
          <w:lang w:eastAsia="ja-JP"/>
        </w:rPr>
        <w:t>GB a day</w:t>
      </w:r>
      <w:r w:rsidR="00DA4CBF">
        <w:rPr>
          <w:rFonts w:hint="eastAsia"/>
          <w:lang w:eastAsia="ja-JP"/>
        </w:rPr>
        <w:t xml:space="preserve"> from GISC </w:t>
      </w:r>
      <w:r w:rsidR="00286940">
        <w:rPr>
          <w:rFonts w:hint="eastAsia"/>
          <w:lang w:eastAsia="ja-JP"/>
        </w:rPr>
        <w:t>Cache</w:t>
      </w:r>
      <w:r w:rsidR="00B70DC7">
        <w:rPr>
          <w:rFonts w:hint="eastAsia"/>
          <w:lang w:eastAsia="ja-JP"/>
        </w:rPr>
        <w:t>.</w:t>
      </w:r>
      <w:r w:rsidR="00756CE0">
        <w:rPr>
          <w:rFonts w:hint="eastAsia"/>
          <w:lang w:eastAsia="ja-JP"/>
        </w:rPr>
        <w:t xml:space="preserve"> </w:t>
      </w:r>
      <w:r w:rsidR="007C2A7D">
        <w:rPr>
          <w:lang w:eastAsia="ja-JP"/>
        </w:rPr>
        <w:t>Especially</w:t>
      </w:r>
      <w:r w:rsidR="007C2A7D">
        <w:rPr>
          <w:rFonts w:hint="eastAsia"/>
          <w:lang w:eastAsia="ja-JP"/>
        </w:rPr>
        <w:t xml:space="preserve">, Amount and number of </w:t>
      </w:r>
      <w:r w:rsidR="00756CE0">
        <w:rPr>
          <w:rFonts w:hint="eastAsia"/>
          <w:lang w:eastAsia="ja-JP"/>
        </w:rPr>
        <w:t xml:space="preserve">High Resolution GSM product is </w:t>
      </w:r>
      <w:r w:rsidR="001C3265">
        <w:rPr>
          <w:lang w:eastAsia="ja-JP"/>
        </w:rPr>
        <w:t>increas</w:t>
      </w:r>
      <w:r w:rsidR="001C3265">
        <w:rPr>
          <w:rFonts w:hint="eastAsia"/>
          <w:lang w:eastAsia="ja-JP"/>
        </w:rPr>
        <w:t>ing</w:t>
      </w:r>
      <w:r w:rsidR="00FF0963">
        <w:rPr>
          <w:rFonts w:hint="eastAsia"/>
          <w:lang w:eastAsia="ja-JP"/>
        </w:rPr>
        <w:t>.</w:t>
      </w:r>
    </w:p>
    <w:p w:rsidR="00D606E7" w:rsidRDefault="00C21308" w:rsidP="0094528D">
      <w:pPr>
        <w:jc w:val="center"/>
        <w:rPr>
          <w:lang w:eastAsia="ja-JP"/>
        </w:rPr>
      </w:pPr>
      <w:r w:rsidRPr="00C21308">
        <w:rPr>
          <w:noProof/>
          <w:lang w:val="en-GB" w:eastAsia="zh-CN"/>
        </w:rPr>
        <w:drawing>
          <wp:inline distT="0" distB="0" distL="0" distR="0">
            <wp:extent cx="4680000" cy="3364302"/>
            <wp:effectExtent l="19050" t="0" r="25350" b="7548"/>
            <wp:docPr id="1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528D" w:rsidRPr="00C54067" w:rsidRDefault="003C713A" w:rsidP="0094528D">
      <w:pPr>
        <w:jc w:val="center"/>
        <w:rPr>
          <w:lang w:eastAsia="ja-JP"/>
        </w:rPr>
      </w:pPr>
      <w:r w:rsidRPr="003C713A">
        <w:rPr>
          <w:lang w:eastAsia="ja-JP"/>
        </w:rPr>
        <w:t>Average Daily Download Volume</w:t>
      </w:r>
      <w:r w:rsidR="001552CF">
        <w:rPr>
          <w:rFonts w:hint="eastAsia"/>
          <w:lang w:eastAsia="ja-JP"/>
        </w:rPr>
        <w:t xml:space="preserve"> from GISC Cache</w:t>
      </w:r>
    </w:p>
    <w:p w:rsidR="002C7178" w:rsidRPr="00671D92" w:rsidRDefault="002C7178" w:rsidP="00671D92">
      <w:pPr>
        <w:rPr>
          <w:lang w:eastAsia="ja-JP"/>
        </w:rPr>
      </w:pPr>
    </w:p>
    <w:p w:rsidR="009F2FFA" w:rsidRDefault="009F2FFA" w:rsidP="009F2FFA">
      <w:pPr>
        <w:pStyle w:val="Heading2"/>
        <w:rPr>
          <w:lang w:eastAsia="ja-JP"/>
        </w:rPr>
      </w:pPr>
      <w:r>
        <w:rPr>
          <w:lang w:eastAsia="ja-JP"/>
        </w:rPr>
        <w:lastRenderedPageBreak/>
        <w:t>Networks</w:t>
      </w:r>
    </w:p>
    <w:p w:rsidR="00CC35A5" w:rsidRDefault="00EB2733" w:rsidP="00EB2733">
      <w:pPr>
        <w:rPr>
          <w:lang w:eastAsia="ja-JP"/>
        </w:rPr>
      </w:pPr>
      <w:r>
        <w:rPr>
          <w:lang w:eastAsia="ja-JP"/>
        </w:rPr>
        <w:t>I</w:t>
      </w:r>
      <w:r>
        <w:rPr>
          <w:rFonts w:hint="eastAsia"/>
          <w:lang w:eastAsia="ja-JP"/>
        </w:rPr>
        <w:t xml:space="preserve">n </w:t>
      </w:r>
      <w:r>
        <w:rPr>
          <w:lang w:eastAsia="ja-JP"/>
        </w:rPr>
        <w:t>October</w:t>
      </w:r>
      <w:r>
        <w:rPr>
          <w:rFonts w:hint="eastAsia"/>
          <w:lang w:eastAsia="ja-JP"/>
        </w:rPr>
        <w:t xml:space="preserve"> 2012, GISC Tokyo established circuit from Tokyo to Offenbach on RMDCN. Current protocol is </w:t>
      </w:r>
      <w:r>
        <w:rPr>
          <w:lang w:eastAsia="ja-JP"/>
        </w:rPr>
        <w:t>TCP/</w:t>
      </w:r>
      <w:proofErr w:type="gramStart"/>
      <w:r>
        <w:rPr>
          <w:lang w:eastAsia="ja-JP"/>
        </w:rPr>
        <w:t>IP(</w:t>
      </w:r>
      <w:proofErr w:type="gramEnd"/>
      <w:r>
        <w:rPr>
          <w:lang w:eastAsia="ja-JP"/>
        </w:rPr>
        <w:t>FTP</w:t>
      </w:r>
      <w:r>
        <w:rPr>
          <w:rFonts w:hint="eastAsia"/>
          <w:lang w:eastAsia="ja-JP"/>
        </w:rPr>
        <w:t>) and disseminate data</w:t>
      </w:r>
      <w:r>
        <w:rPr>
          <w:lang w:eastAsia="ja-JP"/>
        </w:rPr>
        <w:t xml:space="preserve"> </w:t>
      </w:r>
      <w:r>
        <w:rPr>
          <w:rFonts w:hint="eastAsia"/>
          <w:lang w:eastAsia="ja-JP"/>
        </w:rPr>
        <w:t xml:space="preserve">of </w:t>
      </w:r>
      <w:r w:rsidRPr="00A017E8">
        <w:rPr>
          <w:lang w:eastAsia="ja-JP"/>
        </w:rPr>
        <w:t>AN, AN urgent, BIN, File</w:t>
      </w:r>
      <w:r>
        <w:rPr>
          <w:rFonts w:hint="eastAsia"/>
          <w:lang w:eastAsia="ja-JP"/>
        </w:rPr>
        <w:t>.</w:t>
      </w:r>
    </w:p>
    <w:p w:rsidR="00944E10" w:rsidRPr="00CC35A5" w:rsidRDefault="001B7BFC" w:rsidP="00CC35A5">
      <w:pPr>
        <w:rPr>
          <w:lang w:eastAsia="ja-JP"/>
        </w:rPr>
      </w:pPr>
      <w:r>
        <w:rPr>
          <w:rFonts w:hint="eastAsia"/>
          <w:lang w:eastAsia="ja-JP"/>
        </w:rPr>
        <w:t xml:space="preserve">GISC Tokyo </w:t>
      </w:r>
      <w:r w:rsidR="004F4AB7">
        <w:rPr>
          <w:rFonts w:hint="eastAsia"/>
          <w:lang w:eastAsia="ja-JP"/>
        </w:rPr>
        <w:t xml:space="preserve">will </w:t>
      </w:r>
      <w:proofErr w:type="gramStart"/>
      <w:r w:rsidR="004F4AB7">
        <w:rPr>
          <w:rFonts w:hint="eastAsia"/>
          <w:lang w:eastAsia="ja-JP"/>
        </w:rPr>
        <w:t>migrate</w:t>
      </w:r>
      <w:proofErr w:type="gramEnd"/>
      <w:r w:rsidR="004F4AB7">
        <w:rPr>
          <w:rFonts w:hint="eastAsia"/>
          <w:lang w:eastAsia="ja-JP"/>
        </w:rPr>
        <w:t xml:space="preserve"> our MSS in October</w:t>
      </w:r>
      <w:r w:rsidR="00CB1065">
        <w:rPr>
          <w:rFonts w:hint="eastAsia"/>
          <w:lang w:eastAsia="ja-JP"/>
        </w:rPr>
        <w:t xml:space="preserve"> </w:t>
      </w:r>
      <w:r w:rsidR="004F4AB7">
        <w:rPr>
          <w:rFonts w:hint="eastAsia"/>
          <w:lang w:eastAsia="ja-JP"/>
        </w:rPr>
        <w:t xml:space="preserve">2013, and </w:t>
      </w:r>
      <w:r>
        <w:rPr>
          <w:rFonts w:hint="eastAsia"/>
          <w:lang w:eastAsia="ja-JP"/>
        </w:rPr>
        <w:t xml:space="preserve">GISC Tokyo </w:t>
      </w:r>
      <w:r w:rsidR="0044006B">
        <w:rPr>
          <w:rFonts w:hint="eastAsia"/>
          <w:lang w:eastAsia="ja-JP"/>
        </w:rPr>
        <w:t>ha</w:t>
      </w:r>
      <w:r>
        <w:rPr>
          <w:rFonts w:hint="eastAsia"/>
          <w:lang w:eastAsia="ja-JP"/>
        </w:rPr>
        <w:t>s</w:t>
      </w:r>
      <w:r w:rsidR="0044006B">
        <w:rPr>
          <w:rFonts w:hint="eastAsia"/>
          <w:lang w:eastAsia="ja-JP"/>
        </w:rPr>
        <w:t xml:space="preserve"> been</w:t>
      </w:r>
      <w:r w:rsidR="004F4AB7">
        <w:rPr>
          <w:rFonts w:hint="eastAsia"/>
          <w:lang w:eastAsia="ja-JP"/>
        </w:rPr>
        <w:t xml:space="preserve"> arranging with </w:t>
      </w:r>
      <w:r w:rsidR="0044006B">
        <w:rPr>
          <w:rFonts w:hint="eastAsia"/>
          <w:lang w:eastAsia="ja-JP"/>
        </w:rPr>
        <w:t xml:space="preserve">GTS centers and </w:t>
      </w:r>
      <w:r w:rsidR="0044006B" w:rsidRPr="0044006B">
        <w:rPr>
          <w:lang w:eastAsia="ja-JP"/>
        </w:rPr>
        <w:t>EUMETSAT</w:t>
      </w:r>
      <w:r w:rsidR="00D010E1">
        <w:rPr>
          <w:rFonts w:hint="eastAsia"/>
          <w:lang w:eastAsia="ja-JP"/>
        </w:rPr>
        <w:t xml:space="preserve"> for </w:t>
      </w:r>
      <w:r w:rsidR="0044006B">
        <w:rPr>
          <w:rFonts w:hint="eastAsia"/>
          <w:lang w:eastAsia="ja-JP"/>
        </w:rPr>
        <w:t xml:space="preserve">migration of MSS. </w:t>
      </w:r>
      <w:r w:rsidR="0044006B">
        <w:rPr>
          <w:lang w:eastAsia="ja-JP"/>
        </w:rPr>
        <w:t>I</w:t>
      </w:r>
      <w:r w:rsidR="0044006B">
        <w:rPr>
          <w:rFonts w:hint="eastAsia"/>
          <w:lang w:eastAsia="ja-JP"/>
        </w:rPr>
        <w:t>n this migration, there is no need to change IP address and protocols</w:t>
      </w:r>
      <w:r w:rsidR="004714BE">
        <w:rPr>
          <w:rFonts w:hint="eastAsia"/>
          <w:lang w:eastAsia="ja-JP"/>
        </w:rPr>
        <w:t xml:space="preserve"> at any centers</w:t>
      </w:r>
      <w:r w:rsidR="0044006B">
        <w:rPr>
          <w:rFonts w:hint="eastAsia"/>
          <w:lang w:eastAsia="ja-JP"/>
        </w:rPr>
        <w:t>.</w:t>
      </w:r>
    </w:p>
    <w:p w:rsidR="007D7146" w:rsidRDefault="009F2FFA" w:rsidP="009F2FFA">
      <w:pPr>
        <w:pStyle w:val="Heading2"/>
        <w:rPr>
          <w:lang w:eastAsia="ja-JP"/>
        </w:rPr>
      </w:pPr>
      <w:r>
        <w:rPr>
          <w:lang w:eastAsia="ja-JP"/>
        </w:rPr>
        <w:t xml:space="preserve">System </w:t>
      </w:r>
      <w:r w:rsidR="001B74D9">
        <w:rPr>
          <w:rFonts w:hint="eastAsia"/>
          <w:lang w:eastAsia="ja-JP"/>
        </w:rPr>
        <w:t>m</w:t>
      </w:r>
      <w:r>
        <w:rPr>
          <w:lang w:eastAsia="ja-JP"/>
        </w:rPr>
        <w:t xml:space="preserve">onitoring including </w:t>
      </w:r>
      <w:r w:rsidR="001B74D9">
        <w:rPr>
          <w:rFonts w:hint="eastAsia"/>
          <w:lang w:eastAsia="ja-JP"/>
        </w:rPr>
        <w:t>a</w:t>
      </w:r>
      <w:r>
        <w:rPr>
          <w:lang w:eastAsia="ja-JP"/>
        </w:rPr>
        <w:t xml:space="preserve">ccess </w:t>
      </w:r>
      <w:r w:rsidR="00450AF8">
        <w:rPr>
          <w:rFonts w:hint="eastAsia"/>
          <w:lang w:eastAsia="ja-JP"/>
        </w:rPr>
        <w:t>log a</w:t>
      </w:r>
      <w:r>
        <w:rPr>
          <w:lang w:eastAsia="ja-JP"/>
        </w:rPr>
        <w:t>nalysis</w:t>
      </w:r>
    </w:p>
    <w:p w:rsidR="00863433" w:rsidRDefault="00844D35" w:rsidP="00863433">
      <w:pPr>
        <w:rPr>
          <w:lang w:eastAsia="ja-JP"/>
        </w:rPr>
      </w:pPr>
      <w:r>
        <w:rPr>
          <w:lang w:eastAsia="ja-JP"/>
        </w:rPr>
        <w:t>S</w:t>
      </w:r>
      <w:r>
        <w:rPr>
          <w:rFonts w:hint="eastAsia"/>
          <w:lang w:eastAsia="ja-JP"/>
        </w:rPr>
        <w:t xml:space="preserve">ince </w:t>
      </w:r>
      <w:r>
        <w:rPr>
          <w:lang w:eastAsia="ja-JP"/>
        </w:rPr>
        <w:t>official</w:t>
      </w:r>
      <w:r>
        <w:rPr>
          <w:rFonts w:hint="eastAsia"/>
          <w:lang w:eastAsia="ja-JP"/>
        </w:rPr>
        <w:t xml:space="preserve"> operation, GISC Tokyo has been </w:t>
      </w:r>
      <w:r>
        <w:rPr>
          <w:lang w:eastAsia="ja-JP"/>
        </w:rPr>
        <w:t>analyzing</w:t>
      </w:r>
      <w:r>
        <w:rPr>
          <w:rFonts w:hint="eastAsia"/>
          <w:lang w:eastAsia="ja-JP"/>
        </w:rPr>
        <w:t xml:space="preserve"> </w:t>
      </w:r>
      <w:r w:rsidR="000969D5">
        <w:rPr>
          <w:rFonts w:hint="eastAsia"/>
          <w:lang w:eastAsia="ja-JP"/>
        </w:rPr>
        <w:t xml:space="preserve">http </w:t>
      </w:r>
      <w:r>
        <w:rPr>
          <w:rFonts w:hint="eastAsia"/>
          <w:lang w:eastAsia="ja-JP"/>
        </w:rPr>
        <w:t xml:space="preserve">access log files and </w:t>
      </w:r>
      <w:r w:rsidR="008006B8">
        <w:rPr>
          <w:lang w:eastAsia="ja-JP"/>
        </w:rPr>
        <w:t>investigat</w:t>
      </w:r>
      <w:r w:rsidR="008006B8">
        <w:rPr>
          <w:rFonts w:hint="eastAsia"/>
          <w:lang w:eastAsia="ja-JP"/>
        </w:rPr>
        <w:t>ing</w:t>
      </w:r>
      <w:r>
        <w:rPr>
          <w:rFonts w:hint="eastAsia"/>
          <w:lang w:eastAsia="ja-JP"/>
        </w:rPr>
        <w:t xml:space="preserve"> user </w:t>
      </w:r>
      <w:r>
        <w:rPr>
          <w:lang w:eastAsia="ja-JP"/>
        </w:rPr>
        <w:t>activities</w:t>
      </w:r>
      <w:r>
        <w:rPr>
          <w:rFonts w:hint="eastAsia"/>
          <w:lang w:eastAsia="ja-JP"/>
        </w:rPr>
        <w:t>.</w:t>
      </w:r>
      <w:r w:rsidR="00CB1065">
        <w:rPr>
          <w:rFonts w:hint="eastAsia"/>
          <w:lang w:eastAsia="ja-JP"/>
        </w:rPr>
        <w:t xml:space="preserve"> </w:t>
      </w:r>
      <w:r w:rsidR="00814F0E">
        <w:rPr>
          <w:rFonts w:hint="eastAsia"/>
          <w:lang w:eastAsia="ja-JP"/>
        </w:rPr>
        <w:t>GISC Tokyo add</w:t>
      </w:r>
      <w:r w:rsidR="000969D5">
        <w:rPr>
          <w:rFonts w:hint="eastAsia"/>
          <w:lang w:eastAsia="ja-JP"/>
        </w:rPr>
        <w:t>ed</w:t>
      </w:r>
      <w:r w:rsidR="00814F0E">
        <w:rPr>
          <w:rFonts w:hint="eastAsia"/>
          <w:lang w:eastAsia="ja-JP"/>
        </w:rPr>
        <w:t xml:space="preserve"> some </w:t>
      </w:r>
      <w:r w:rsidR="00814F0E">
        <w:rPr>
          <w:lang w:eastAsia="ja-JP"/>
        </w:rPr>
        <w:t>system</w:t>
      </w:r>
      <w:r w:rsidR="00814F0E">
        <w:rPr>
          <w:rFonts w:hint="eastAsia"/>
          <w:lang w:eastAsia="ja-JP"/>
        </w:rPr>
        <w:t xml:space="preserve"> monitoring</w:t>
      </w:r>
      <w:r w:rsidR="00F61DCF">
        <w:rPr>
          <w:rFonts w:hint="eastAsia"/>
          <w:lang w:eastAsia="ja-JP"/>
        </w:rPr>
        <w:t xml:space="preserve"> </w:t>
      </w:r>
      <w:r w:rsidR="008A295C">
        <w:rPr>
          <w:rFonts w:hint="eastAsia"/>
          <w:lang w:eastAsia="ja-JP"/>
        </w:rPr>
        <w:t>(</w:t>
      </w:r>
      <w:r w:rsidR="00D5698F">
        <w:rPr>
          <w:rFonts w:hint="eastAsia"/>
          <w:lang w:eastAsia="ja-JP"/>
        </w:rPr>
        <w:t xml:space="preserve">e.g. </w:t>
      </w:r>
      <w:r w:rsidR="00F61DCF">
        <w:rPr>
          <w:rFonts w:hint="eastAsia"/>
          <w:lang w:eastAsia="ja-JP"/>
        </w:rPr>
        <w:t xml:space="preserve">log </w:t>
      </w:r>
      <w:r w:rsidR="000969D5">
        <w:rPr>
          <w:rFonts w:hint="eastAsia"/>
          <w:lang w:eastAsia="ja-JP"/>
        </w:rPr>
        <w:t>files</w:t>
      </w:r>
      <w:r w:rsidR="00F61DCF">
        <w:rPr>
          <w:rFonts w:hint="eastAsia"/>
          <w:lang w:eastAsia="ja-JP"/>
        </w:rPr>
        <w:t xml:space="preserve">, server </w:t>
      </w:r>
      <w:r w:rsidR="000969D5">
        <w:rPr>
          <w:rFonts w:hint="eastAsia"/>
          <w:lang w:eastAsia="ja-JP"/>
        </w:rPr>
        <w:t>resource</w:t>
      </w:r>
      <w:r w:rsidR="00F61DCF">
        <w:rPr>
          <w:rFonts w:hint="eastAsia"/>
          <w:lang w:eastAsia="ja-JP"/>
        </w:rPr>
        <w:t>, metadata exchange</w:t>
      </w:r>
      <w:r w:rsidR="000673EC">
        <w:rPr>
          <w:rFonts w:hint="eastAsia"/>
          <w:lang w:eastAsia="ja-JP"/>
        </w:rPr>
        <w:t>,</w:t>
      </w:r>
      <w:r w:rsidR="00CB1065">
        <w:rPr>
          <w:rFonts w:hint="eastAsia"/>
          <w:lang w:eastAsia="ja-JP"/>
        </w:rPr>
        <w:t xml:space="preserve"> </w:t>
      </w:r>
      <w:r w:rsidR="008A295C">
        <w:rPr>
          <w:rFonts w:hint="eastAsia"/>
          <w:lang w:eastAsia="ja-JP"/>
        </w:rPr>
        <w:t>subscription)</w:t>
      </w:r>
      <w:r w:rsidR="000969D5">
        <w:rPr>
          <w:rFonts w:hint="eastAsia"/>
          <w:lang w:eastAsia="ja-JP"/>
        </w:rPr>
        <w:t xml:space="preserve"> </w:t>
      </w:r>
      <w:r w:rsidR="00814F0E">
        <w:rPr>
          <w:rFonts w:hint="eastAsia"/>
          <w:lang w:eastAsia="ja-JP"/>
        </w:rPr>
        <w:t xml:space="preserve">to keep </w:t>
      </w:r>
      <w:r w:rsidR="00814F0E" w:rsidRPr="007257EB">
        <w:rPr>
          <w:lang w:eastAsia="ja-JP"/>
        </w:rPr>
        <w:t>stable operation</w:t>
      </w:r>
      <w:r w:rsidR="00814F0E">
        <w:rPr>
          <w:rFonts w:hint="eastAsia"/>
          <w:lang w:eastAsia="ja-JP"/>
        </w:rPr>
        <w:t xml:space="preserve"> and </w:t>
      </w:r>
      <w:r w:rsidR="00E6045E">
        <w:rPr>
          <w:rFonts w:hint="eastAsia"/>
          <w:lang w:eastAsia="ja-JP"/>
        </w:rPr>
        <w:t xml:space="preserve">to </w:t>
      </w:r>
      <w:r w:rsidR="00814F0E">
        <w:rPr>
          <w:rFonts w:hint="eastAsia"/>
          <w:lang w:eastAsia="ja-JP"/>
        </w:rPr>
        <w:t xml:space="preserve">keep </w:t>
      </w:r>
      <w:r w:rsidR="004D39FB">
        <w:rPr>
          <w:rFonts w:hint="eastAsia"/>
          <w:lang w:eastAsia="ja-JP"/>
        </w:rPr>
        <w:t>GISC</w:t>
      </w:r>
      <w:r w:rsidR="004D39FB">
        <w:rPr>
          <w:lang w:eastAsia="ja-JP"/>
        </w:rPr>
        <w:t>’</w:t>
      </w:r>
      <w:r w:rsidR="004D39FB">
        <w:rPr>
          <w:rFonts w:hint="eastAsia"/>
          <w:lang w:eastAsia="ja-JP"/>
        </w:rPr>
        <w:t xml:space="preserve">s </w:t>
      </w:r>
      <w:r w:rsidR="00814F0E">
        <w:rPr>
          <w:rFonts w:hint="eastAsia"/>
          <w:lang w:eastAsia="ja-JP"/>
        </w:rPr>
        <w:t>service levels.</w:t>
      </w:r>
    </w:p>
    <w:p w:rsidR="00003D83" w:rsidRDefault="00003D83" w:rsidP="00863433">
      <w:pPr>
        <w:rPr>
          <w:lang w:eastAsia="ja-JP"/>
        </w:rPr>
      </w:pPr>
      <w:r w:rsidRPr="00003D83">
        <w:rPr>
          <w:noProof/>
          <w:lang w:val="en-GB" w:eastAsia="zh-CN"/>
        </w:rPr>
        <w:drawing>
          <wp:inline distT="0" distB="0" distL="0" distR="0">
            <wp:extent cx="5943600" cy="3983477"/>
            <wp:effectExtent l="19050" t="19050" r="19050" b="17023"/>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43600" cy="3983477"/>
                    </a:xfrm>
                    <a:prstGeom prst="rect">
                      <a:avLst/>
                    </a:prstGeom>
                    <a:noFill/>
                    <a:ln w="9525">
                      <a:solidFill>
                        <a:schemeClr val="accent1"/>
                      </a:solidFill>
                      <a:miter lim="800000"/>
                      <a:headEnd/>
                      <a:tailEnd/>
                    </a:ln>
                  </pic:spPr>
                </pic:pic>
              </a:graphicData>
            </a:graphic>
          </wp:inline>
        </w:drawing>
      </w:r>
    </w:p>
    <w:p w:rsidR="00264482" w:rsidRDefault="00264482" w:rsidP="00264482">
      <w:pPr>
        <w:jc w:val="center"/>
        <w:rPr>
          <w:lang w:eastAsia="ja-JP"/>
        </w:rPr>
      </w:pPr>
      <w:r>
        <w:rPr>
          <w:rFonts w:hint="eastAsia"/>
          <w:lang w:eastAsia="ja-JP"/>
        </w:rPr>
        <w:t>GISC Tokyo</w:t>
      </w:r>
      <w:r>
        <w:rPr>
          <w:lang w:eastAsia="ja-JP"/>
        </w:rPr>
        <w:t>’</w:t>
      </w:r>
      <w:r>
        <w:rPr>
          <w:rFonts w:hint="eastAsia"/>
          <w:lang w:eastAsia="ja-JP"/>
        </w:rPr>
        <w:t>s System Monitoring portal page</w:t>
      </w:r>
    </w:p>
    <w:p w:rsidR="005E3FDC" w:rsidRDefault="005E3FDC" w:rsidP="00817405">
      <w:pPr>
        <w:rPr>
          <w:lang w:eastAsia="ja-JP"/>
        </w:rPr>
      </w:pPr>
    </w:p>
    <w:p w:rsidR="00264482" w:rsidRDefault="005E3FDC" w:rsidP="005E3FDC">
      <w:pPr>
        <w:pStyle w:val="Heading2"/>
        <w:rPr>
          <w:lang w:eastAsia="ja-JP"/>
        </w:rPr>
      </w:pPr>
      <w:r w:rsidRPr="005E3FDC">
        <w:rPr>
          <w:lang w:eastAsia="ja-JP"/>
        </w:rPr>
        <w:t>Collaboration</w:t>
      </w:r>
    </w:p>
    <w:p w:rsidR="004143D2" w:rsidRPr="00040F31" w:rsidRDefault="004143D2" w:rsidP="004143D2">
      <w:pPr>
        <w:rPr>
          <w:lang w:eastAsia="ja-JP"/>
        </w:rPr>
      </w:pPr>
      <w:r w:rsidRPr="004143D2">
        <w:rPr>
          <w:lang w:eastAsia="ja-JP"/>
        </w:rPr>
        <w:t xml:space="preserve">JMA has been </w:t>
      </w:r>
      <w:r w:rsidR="00533BD5">
        <w:rPr>
          <w:rFonts w:hint="eastAsia"/>
          <w:lang w:eastAsia="ja-JP"/>
        </w:rPr>
        <w:t xml:space="preserve">keeping </w:t>
      </w:r>
      <w:r w:rsidRPr="004143D2">
        <w:rPr>
          <w:lang w:eastAsia="ja-JP"/>
        </w:rPr>
        <w:t>a stable operation with cooperation of center</w:t>
      </w:r>
      <w:r w:rsidR="00226B3A">
        <w:rPr>
          <w:rFonts w:hint="eastAsia"/>
          <w:lang w:eastAsia="ja-JP"/>
        </w:rPr>
        <w:t xml:space="preserve"> concerned</w:t>
      </w:r>
      <w:r w:rsidRPr="004143D2">
        <w:rPr>
          <w:lang w:eastAsia="ja-JP"/>
        </w:rPr>
        <w:t>.</w:t>
      </w:r>
      <w:r w:rsidR="007F09BF">
        <w:rPr>
          <w:rFonts w:hint="eastAsia"/>
          <w:lang w:eastAsia="ja-JP"/>
        </w:rPr>
        <w:t xml:space="preserve"> </w:t>
      </w:r>
      <w:r>
        <w:rPr>
          <w:rFonts w:hint="eastAsia"/>
          <w:lang w:eastAsia="ja-JP"/>
        </w:rPr>
        <w:t>Tow</w:t>
      </w:r>
      <w:r>
        <w:rPr>
          <w:lang w:eastAsia="ja-JP"/>
        </w:rPr>
        <w:t>ards</w:t>
      </w:r>
      <w:r>
        <w:rPr>
          <w:rFonts w:hint="eastAsia"/>
          <w:lang w:eastAsia="ja-JP"/>
        </w:rPr>
        <w:t xml:space="preserve"> the GISC back-up, JMA has been discussing with BOM, CMA and DWD. Also, JMA </w:t>
      </w:r>
      <w:r w:rsidR="005D18A4">
        <w:rPr>
          <w:rFonts w:hint="eastAsia"/>
          <w:lang w:eastAsia="ja-JP"/>
        </w:rPr>
        <w:t xml:space="preserve">is </w:t>
      </w:r>
      <w:r w:rsidR="0068734F">
        <w:rPr>
          <w:lang w:eastAsia="ja-JP"/>
        </w:rPr>
        <w:t>collaborating</w:t>
      </w:r>
      <w:r>
        <w:rPr>
          <w:rFonts w:hint="eastAsia"/>
          <w:lang w:eastAsia="ja-JP"/>
        </w:rPr>
        <w:t xml:space="preserve"> with CMA </w:t>
      </w:r>
      <w:r w:rsidR="0068734F">
        <w:rPr>
          <w:rFonts w:hint="eastAsia"/>
          <w:lang w:eastAsia="ja-JP"/>
        </w:rPr>
        <w:t xml:space="preserve">on the </w:t>
      </w:r>
      <w:r>
        <w:rPr>
          <w:rFonts w:hint="eastAsia"/>
          <w:lang w:eastAsia="ja-JP"/>
        </w:rPr>
        <w:t>WIS application pilot project.</w:t>
      </w:r>
    </w:p>
    <w:p w:rsidR="00040F31" w:rsidRPr="00040F31" w:rsidRDefault="00040F31" w:rsidP="00040F31">
      <w:pPr>
        <w:rPr>
          <w:lang w:eastAsia="ja-JP"/>
        </w:rPr>
      </w:pPr>
    </w:p>
    <w:p w:rsidR="005E3FDC" w:rsidRDefault="005E3FDC" w:rsidP="005E3FDC">
      <w:pPr>
        <w:pStyle w:val="Heading1"/>
        <w:rPr>
          <w:lang w:eastAsia="ja-JP"/>
        </w:rPr>
      </w:pPr>
      <w:r>
        <w:t>Recommended Text</w:t>
      </w:r>
    </w:p>
    <w:p w:rsidR="005E3FDC" w:rsidRPr="005E3FDC" w:rsidRDefault="006811A2" w:rsidP="00863433">
      <w:pPr>
        <w:rPr>
          <w:lang w:eastAsia="ja-JP"/>
        </w:rPr>
      </w:pPr>
      <w:r>
        <w:rPr>
          <w:lang w:eastAsia="ja-JP"/>
        </w:rPr>
        <w:t>M</w:t>
      </w:r>
      <w:r>
        <w:rPr>
          <w:rFonts w:hint="eastAsia"/>
          <w:lang w:eastAsia="ja-JP"/>
        </w:rPr>
        <w:t xml:space="preserve">r. Shigeharu Nishikawa reported current status of JMA. He mentioned that JMA will migrate their MSS in this </w:t>
      </w:r>
      <w:r>
        <w:rPr>
          <w:lang w:eastAsia="ja-JP"/>
        </w:rPr>
        <w:t>October</w:t>
      </w:r>
      <w:r>
        <w:rPr>
          <w:rFonts w:hint="eastAsia"/>
          <w:lang w:eastAsia="ja-JP"/>
        </w:rPr>
        <w:t xml:space="preserve">, </w:t>
      </w:r>
      <w:proofErr w:type="gramStart"/>
      <w:r w:rsidR="003F5CC3">
        <w:rPr>
          <w:lang w:eastAsia="ja-JP"/>
        </w:rPr>
        <w:t>I</w:t>
      </w:r>
      <w:r w:rsidR="003F5CC3">
        <w:rPr>
          <w:rFonts w:hint="eastAsia"/>
          <w:lang w:eastAsia="ja-JP"/>
        </w:rPr>
        <w:t>n</w:t>
      </w:r>
      <w:proofErr w:type="gramEnd"/>
      <w:r w:rsidR="003F5CC3">
        <w:rPr>
          <w:rFonts w:hint="eastAsia"/>
          <w:lang w:eastAsia="ja-JP"/>
        </w:rPr>
        <w:t xml:space="preserve"> this migration, there will be no need to change about network </w:t>
      </w:r>
      <w:r w:rsidR="003F5CC3">
        <w:rPr>
          <w:lang w:eastAsia="ja-JP"/>
        </w:rPr>
        <w:t>configuration</w:t>
      </w:r>
      <w:r w:rsidR="003F5CC3">
        <w:rPr>
          <w:rFonts w:hint="eastAsia"/>
          <w:lang w:eastAsia="ja-JP"/>
        </w:rPr>
        <w:t>.</w:t>
      </w:r>
    </w:p>
    <w:sectPr w:rsidR="005E3FDC" w:rsidRPr="005E3FDC" w:rsidSect="00BA350D">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0B5" w:rsidRDefault="00C810B5" w:rsidP="00BA350D">
      <w:pPr>
        <w:spacing w:after="0" w:line="240" w:lineRule="auto"/>
      </w:pPr>
      <w:r>
        <w:separator/>
      </w:r>
    </w:p>
  </w:endnote>
  <w:endnote w:type="continuationSeparator" w:id="0">
    <w:p w:rsidR="00C810B5" w:rsidRDefault="00C810B5"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0B5" w:rsidRDefault="00C810B5" w:rsidP="00BA350D">
      <w:pPr>
        <w:spacing w:after="0" w:line="240" w:lineRule="auto"/>
      </w:pPr>
      <w:r>
        <w:separator/>
      </w:r>
    </w:p>
  </w:footnote>
  <w:footnote w:type="continuationSeparator" w:id="0">
    <w:p w:rsidR="00C810B5" w:rsidRDefault="00C810B5"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D5" w:rsidRDefault="00533BD5">
    <w:pPr>
      <w:pStyle w:val="Header"/>
      <w:jc w:val="center"/>
    </w:pPr>
    <w:r>
      <w:t xml:space="preserve">Document No. </w:t>
    </w:r>
    <w:r w:rsidR="00251882">
      <w:t xml:space="preserve">34 </w:t>
    </w:r>
    <w:r>
      <w:t xml:space="preserve">(Page </w:t>
    </w:r>
    <w:sdt>
      <w:sdtPr>
        <w:id w:val="-901051862"/>
        <w:docPartObj>
          <w:docPartGallery w:val="Page Numbers (Top of Page)"/>
          <w:docPartUnique/>
        </w:docPartObj>
      </w:sdtPr>
      <w:sdtEndPr>
        <w:rPr>
          <w:noProof/>
        </w:rPr>
      </w:sdtEndPr>
      <w:sdtContent>
        <w:r w:rsidR="00900F40">
          <w:fldChar w:fldCharType="begin"/>
        </w:r>
        <w:r w:rsidR="00900F40">
          <w:instrText xml:space="preserve"> PAGE   \* MERGEFORMAT </w:instrText>
        </w:r>
        <w:r w:rsidR="00900F40">
          <w:fldChar w:fldCharType="separate"/>
        </w:r>
        <w:r w:rsidR="00900F40">
          <w:rPr>
            <w:noProof/>
          </w:rPr>
          <w:t>5</w:t>
        </w:r>
        <w:r w:rsidR="00900F40">
          <w:rPr>
            <w:noProof/>
          </w:rPr>
          <w:fldChar w:fldCharType="end"/>
        </w:r>
        <w:r>
          <w:rPr>
            <w:noProof/>
          </w:rPr>
          <w:t>)</w:t>
        </w:r>
      </w:sdtContent>
    </w:sdt>
  </w:p>
  <w:p w:rsidR="00533BD5" w:rsidRDefault="00533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533BD5" w:rsidRPr="00812884" w:rsidTr="00BA350D">
      <w:trPr>
        <w:cantSplit/>
        <w:trHeight w:val="1438"/>
      </w:trPr>
      <w:tc>
        <w:tcPr>
          <w:tcW w:w="4548" w:type="dxa"/>
          <w:vAlign w:val="center"/>
        </w:tcPr>
        <w:p w:rsidR="00533BD5" w:rsidRPr="00683FE2" w:rsidRDefault="00533BD5"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533BD5" w:rsidRPr="00812884" w:rsidRDefault="00533BD5" w:rsidP="00AF5EF9">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5.5pt" o:ole="">
                <v:imagedata r:id="rId1" o:title=""/>
              </v:shape>
              <o:OLEObject Type="Embed" ProgID="PBrush" ShapeID="_x0000_i1025" DrawAspect="Content" ObjectID="_1434788921" r:id="rId2"/>
            </w:object>
          </w:r>
        </w:p>
      </w:tc>
    </w:tr>
    <w:tr w:rsidR="00533BD5" w:rsidRPr="00812884" w:rsidTr="00BA350D">
      <w:trPr>
        <w:cantSplit/>
      </w:trPr>
      <w:tc>
        <w:tcPr>
          <w:tcW w:w="6228" w:type="dxa"/>
          <w:gridSpan w:val="2"/>
          <w:tcBorders>
            <w:top w:val="single" w:sz="12" w:space="0" w:color="auto"/>
          </w:tcBorders>
        </w:tcPr>
        <w:p w:rsidR="00533BD5" w:rsidRPr="00812884" w:rsidRDefault="00533BD5" w:rsidP="00AF5EF9">
          <w:pPr>
            <w:shd w:val="solid" w:color="FFFFFF" w:fill="FFFFFF"/>
            <w:spacing w:after="48"/>
            <w:rPr>
              <w:rFonts w:ascii="Verdana" w:hAnsi="Verdana" w:cs="Verdana"/>
            </w:rPr>
          </w:pPr>
        </w:p>
      </w:tc>
      <w:tc>
        <w:tcPr>
          <w:tcW w:w="3851" w:type="dxa"/>
          <w:tcBorders>
            <w:top w:val="single" w:sz="12" w:space="0" w:color="auto"/>
          </w:tcBorders>
        </w:tcPr>
        <w:p w:rsidR="00533BD5" w:rsidRPr="00812884" w:rsidRDefault="00533BD5" w:rsidP="00AF5EF9">
          <w:pPr>
            <w:shd w:val="solid" w:color="FFFFFF" w:fill="FFFFFF"/>
            <w:spacing w:after="48" w:line="240" w:lineRule="atLeast"/>
          </w:pPr>
        </w:p>
      </w:tc>
    </w:tr>
    <w:tr w:rsidR="00533BD5" w:rsidRPr="007A7EA5" w:rsidTr="00BA350D">
      <w:trPr>
        <w:cantSplit/>
        <w:trHeight w:val="312"/>
      </w:trPr>
      <w:tc>
        <w:tcPr>
          <w:tcW w:w="6228" w:type="dxa"/>
          <w:gridSpan w:val="2"/>
          <w:vMerge w:val="restart"/>
        </w:tcPr>
        <w:p w:rsidR="00533BD5" w:rsidRDefault="00533BD5"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 Centres (ET-WISC)</w:t>
          </w:r>
          <w:r>
            <w:rPr>
              <w:rFonts w:ascii="Times New Roman" w:hAnsi="Times New Roman" w:cs="Times New Roman"/>
              <w:b/>
              <w:sz w:val="28"/>
              <w:szCs w:val="20"/>
            </w:rPr>
            <w:br/>
          </w:r>
          <w:r w:rsidRPr="00785D74">
            <w:rPr>
              <w:rFonts w:ascii="Times New Roman" w:hAnsi="Times New Roman" w:cs="Times New Roman"/>
              <w:b/>
              <w:sz w:val="28"/>
              <w:szCs w:val="20"/>
            </w:rPr>
            <w:t>Beijing, China 15-18 July 2013</w:t>
          </w:r>
        </w:p>
        <w:p w:rsidR="00533BD5" w:rsidRPr="00BA350D" w:rsidRDefault="00533BD5" w:rsidP="00251882">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sidRPr="00251882">
            <w:rPr>
              <w:rFonts w:ascii="Times New Roman" w:hAnsi="Times New Roman" w:cs="Times New Roman"/>
              <w:b/>
              <w:sz w:val="28"/>
              <w:szCs w:val="20"/>
            </w:rPr>
            <w:t>:</w:t>
          </w:r>
          <w:r w:rsidR="00251882" w:rsidRPr="00251882">
            <w:rPr>
              <w:rFonts w:ascii="Times New Roman" w:hAnsi="Times New Roman" w:cs="Times New Roman"/>
              <w:sz w:val="28"/>
              <w:szCs w:val="20"/>
            </w:rPr>
            <w:t xml:space="preserve"> </w:t>
          </w:r>
          <w:r w:rsidRPr="00251882">
            <w:rPr>
              <w:rFonts w:ascii="Times New Roman" w:hAnsi="Times New Roman" w:cs="Times New Roman" w:hint="eastAsia"/>
              <w:sz w:val="28"/>
              <w:szCs w:val="20"/>
              <w:lang w:eastAsia="ja-JP"/>
            </w:rPr>
            <w:t xml:space="preserve"> </w:t>
          </w:r>
          <w:proofErr w:type="spellStart"/>
          <w:r w:rsidRPr="00251882">
            <w:rPr>
              <w:rFonts w:ascii="Times New Roman" w:hAnsi="Times New Roman" w:cs="Times New Roman" w:hint="eastAsia"/>
              <w:sz w:val="28"/>
              <w:szCs w:val="20"/>
              <w:lang w:eastAsia="ja-JP"/>
            </w:rPr>
            <w:t>Shigeharu</w:t>
          </w:r>
          <w:proofErr w:type="spellEnd"/>
          <w:r w:rsidRPr="00251882">
            <w:rPr>
              <w:rFonts w:ascii="Times New Roman" w:hAnsi="Times New Roman" w:cs="Times New Roman" w:hint="eastAsia"/>
              <w:sz w:val="28"/>
              <w:szCs w:val="20"/>
              <w:lang w:eastAsia="ja-JP"/>
            </w:rPr>
            <w:t xml:space="preserve"> NISHIKAWA</w:t>
          </w:r>
          <w:r w:rsidR="00251882" w:rsidRPr="00251882">
            <w:rPr>
              <w:rFonts w:ascii="Times New Roman" w:hAnsi="Times New Roman" w:cs="Times New Roman"/>
              <w:sz w:val="28"/>
              <w:szCs w:val="20"/>
              <w:lang w:eastAsia="ja-JP"/>
            </w:rPr>
            <w:t xml:space="preserve"> (</w:t>
          </w:r>
          <w:r>
            <w:rPr>
              <w:rFonts w:ascii="Times New Roman" w:hAnsi="Times New Roman" w:cs="Times New Roman" w:hint="eastAsia"/>
              <w:sz w:val="28"/>
              <w:szCs w:val="20"/>
              <w:lang w:eastAsia="ja-JP"/>
            </w:rPr>
            <w:t>JMA</w:t>
          </w:r>
          <w:r w:rsidR="00251882">
            <w:rPr>
              <w:rFonts w:ascii="Times New Roman" w:hAnsi="Times New Roman" w:cs="Times New Roman"/>
              <w:sz w:val="28"/>
              <w:szCs w:val="20"/>
              <w:lang w:eastAsia="ja-JP"/>
            </w:rPr>
            <w:t>)</w:t>
          </w:r>
        </w:p>
      </w:tc>
      <w:tc>
        <w:tcPr>
          <w:tcW w:w="3851" w:type="dxa"/>
        </w:tcPr>
        <w:p w:rsidR="00533BD5" w:rsidRPr="0013270C" w:rsidRDefault="00533BD5" w:rsidP="00251882">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ET-WISC/2013-Doc</w:t>
          </w:r>
          <w:r w:rsidR="00251882">
            <w:rPr>
              <w:rFonts w:ascii="Times New Roman" w:hAnsi="Times New Roman" w:cs="Times New Roman"/>
              <w:b/>
              <w:bCs/>
              <w:sz w:val="28"/>
              <w:szCs w:val="20"/>
              <w:lang w:eastAsia="zh-CN"/>
            </w:rPr>
            <w:t xml:space="preserve"> 34</w:t>
          </w:r>
          <w:r w:rsidR="00251882">
            <w:rPr>
              <w:rFonts w:ascii="Times New Roman" w:hAnsi="Times New Roman" w:cs="Times New Roman"/>
              <w:b/>
              <w:bCs/>
              <w:sz w:val="28"/>
              <w:szCs w:val="20"/>
              <w:lang w:eastAsia="zh-CN"/>
            </w:rPr>
            <w:br/>
            <w:t xml:space="preserve">Agenda Item </w:t>
          </w:r>
          <w:r w:rsidRPr="00251882">
            <w:rPr>
              <w:rFonts w:ascii="Times New Roman" w:hAnsi="Times New Roman" w:cs="Times New Roman" w:hint="eastAsia"/>
              <w:b/>
              <w:bCs/>
              <w:sz w:val="28"/>
              <w:szCs w:val="20"/>
              <w:lang w:eastAsia="ja-JP"/>
            </w:rPr>
            <w:t>3.1</w:t>
          </w:r>
        </w:p>
      </w:tc>
    </w:tr>
    <w:tr w:rsidR="00533BD5" w:rsidRPr="00812884" w:rsidTr="00BA350D">
      <w:trPr>
        <w:cantSplit/>
        <w:trHeight w:val="81"/>
      </w:trPr>
      <w:tc>
        <w:tcPr>
          <w:tcW w:w="6228" w:type="dxa"/>
          <w:gridSpan w:val="2"/>
          <w:vMerge/>
        </w:tcPr>
        <w:p w:rsidR="00533BD5" w:rsidRPr="0044117D" w:rsidRDefault="00533BD5" w:rsidP="00AF5EF9">
          <w:pPr>
            <w:shd w:val="solid" w:color="FFFFFF" w:fill="FFFFFF"/>
            <w:spacing w:after="240"/>
            <w:ind w:left="1134" w:hanging="1134"/>
            <w:rPr>
              <w:rFonts w:ascii="Verdana" w:hAnsi="Verdana" w:cs="Verdana"/>
              <w:sz w:val="20"/>
              <w:szCs w:val="20"/>
            </w:rPr>
          </w:pPr>
        </w:p>
      </w:tc>
      <w:tc>
        <w:tcPr>
          <w:tcW w:w="3851" w:type="dxa"/>
        </w:tcPr>
        <w:p w:rsidR="00533BD5" w:rsidRPr="0013270C" w:rsidRDefault="00251882" w:rsidP="0013270C">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08 July</w:t>
          </w:r>
          <w:r w:rsidR="00533BD5" w:rsidRPr="0013270C">
            <w:rPr>
              <w:rFonts w:ascii="Times New Roman" w:hAnsi="Times New Roman" w:cs="Times New Roman"/>
              <w:b/>
              <w:bCs/>
              <w:sz w:val="28"/>
              <w:szCs w:val="20"/>
              <w:lang w:eastAsia="zh-CN"/>
            </w:rPr>
            <w:t xml:space="preserve"> 2013</w:t>
          </w:r>
        </w:p>
      </w:tc>
    </w:tr>
  </w:tbl>
  <w:p w:rsidR="00533BD5" w:rsidRDefault="00533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F49"/>
    <w:multiLevelType w:val="hybridMultilevel"/>
    <w:tmpl w:val="E7E83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D656D2"/>
    <w:multiLevelType w:val="hybridMultilevel"/>
    <w:tmpl w:val="0FF81E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D904C2B"/>
    <w:multiLevelType w:val="hybridMultilevel"/>
    <w:tmpl w:val="7570C5B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392550"/>
    <w:multiLevelType w:val="hybridMultilevel"/>
    <w:tmpl w:val="44FE23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A040CF"/>
    <w:multiLevelType w:val="hybridMultilevel"/>
    <w:tmpl w:val="0678AC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9C615F5"/>
    <w:multiLevelType w:val="hybridMultilevel"/>
    <w:tmpl w:val="03CE31C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1B45B7B"/>
    <w:multiLevelType w:val="hybridMultilevel"/>
    <w:tmpl w:val="A636D1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6500A64"/>
    <w:multiLevelType w:val="hybridMultilevel"/>
    <w:tmpl w:val="B57A78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5"/>
  </w:num>
  <w:num w:numId="5">
    <w:abstractNumId w:val="1"/>
  </w:num>
  <w:num w:numId="6">
    <w:abstractNumId w:val="8"/>
  </w:num>
  <w:num w:numId="7">
    <w:abstractNumId w:val="7"/>
  </w:num>
  <w:num w:numId="8">
    <w:abstractNumId w:val="6"/>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62466">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03D83"/>
    <w:rsid w:val="00040F31"/>
    <w:rsid w:val="00055AC1"/>
    <w:rsid w:val="000673EC"/>
    <w:rsid w:val="00074353"/>
    <w:rsid w:val="00075CEC"/>
    <w:rsid w:val="00076949"/>
    <w:rsid w:val="0007737B"/>
    <w:rsid w:val="00090751"/>
    <w:rsid w:val="0009566C"/>
    <w:rsid w:val="00096457"/>
    <w:rsid w:val="000969D5"/>
    <w:rsid w:val="000A397A"/>
    <w:rsid w:val="000B5C0F"/>
    <w:rsid w:val="000B723C"/>
    <w:rsid w:val="000B7990"/>
    <w:rsid w:val="000C03C7"/>
    <w:rsid w:val="000C5202"/>
    <w:rsid w:val="000C5D0D"/>
    <w:rsid w:val="000D15D4"/>
    <w:rsid w:val="000D466A"/>
    <w:rsid w:val="000E5001"/>
    <w:rsid w:val="000F2815"/>
    <w:rsid w:val="000F298F"/>
    <w:rsid w:val="0011216C"/>
    <w:rsid w:val="00124B88"/>
    <w:rsid w:val="0013270C"/>
    <w:rsid w:val="00146820"/>
    <w:rsid w:val="001477C5"/>
    <w:rsid w:val="00154A0A"/>
    <w:rsid w:val="001552CF"/>
    <w:rsid w:val="001563FB"/>
    <w:rsid w:val="001620C0"/>
    <w:rsid w:val="00173241"/>
    <w:rsid w:val="00180AEB"/>
    <w:rsid w:val="00180EE5"/>
    <w:rsid w:val="00193C87"/>
    <w:rsid w:val="001A6993"/>
    <w:rsid w:val="001A7EB8"/>
    <w:rsid w:val="001B1EAE"/>
    <w:rsid w:val="001B74D9"/>
    <w:rsid w:val="001B7BFC"/>
    <w:rsid w:val="001C255F"/>
    <w:rsid w:val="001C3265"/>
    <w:rsid w:val="001C7735"/>
    <w:rsid w:val="001D2EAC"/>
    <w:rsid w:val="001F0323"/>
    <w:rsid w:val="001F75AD"/>
    <w:rsid w:val="00200321"/>
    <w:rsid w:val="00203E64"/>
    <w:rsid w:val="00217285"/>
    <w:rsid w:val="00225D5F"/>
    <w:rsid w:val="002262E8"/>
    <w:rsid w:val="00226B3A"/>
    <w:rsid w:val="00242761"/>
    <w:rsid w:val="002445B6"/>
    <w:rsid w:val="00251882"/>
    <w:rsid w:val="002609A5"/>
    <w:rsid w:val="002636DB"/>
    <w:rsid w:val="00264482"/>
    <w:rsid w:val="00286940"/>
    <w:rsid w:val="0029316B"/>
    <w:rsid w:val="0029454D"/>
    <w:rsid w:val="002A3697"/>
    <w:rsid w:val="002A43AC"/>
    <w:rsid w:val="002B398F"/>
    <w:rsid w:val="002C7178"/>
    <w:rsid w:val="002E5434"/>
    <w:rsid w:val="00302A95"/>
    <w:rsid w:val="00302BF4"/>
    <w:rsid w:val="003033F3"/>
    <w:rsid w:val="0030772E"/>
    <w:rsid w:val="00307BD6"/>
    <w:rsid w:val="00310F41"/>
    <w:rsid w:val="00316B33"/>
    <w:rsid w:val="00322929"/>
    <w:rsid w:val="00334E63"/>
    <w:rsid w:val="00336304"/>
    <w:rsid w:val="00344A53"/>
    <w:rsid w:val="00347D6B"/>
    <w:rsid w:val="003561FD"/>
    <w:rsid w:val="00356FD9"/>
    <w:rsid w:val="003610E0"/>
    <w:rsid w:val="003627C7"/>
    <w:rsid w:val="00365155"/>
    <w:rsid w:val="00366186"/>
    <w:rsid w:val="00370024"/>
    <w:rsid w:val="00375ECB"/>
    <w:rsid w:val="003763A2"/>
    <w:rsid w:val="0037788B"/>
    <w:rsid w:val="0038031E"/>
    <w:rsid w:val="00382768"/>
    <w:rsid w:val="00382972"/>
    <w:rsid w:val="00393854"/>
    <w:rsid w:val="00396F2A"/>
    <w:rsid w:val="00397340"/>
    <w:rsid w:val="003A75F0"/>
    <w:rsid w:val="003B7EA8"/>
    <w:rsid w:val="003C713A"/>
    <w:rsid w:val="003E141A"/>
    <w:rsid w:val="003E44B5"/>
    <w:rsid w:val="003E5974"/>
    <w:rsid w:val="003F5CC3"/>
    <w:rsid w:val="0040618F"/>
    <w:rsid w:val="00410CBF"/>
    <w:rsid w:val="004143D2"/>
    <w:rsid w:val="004177D8"/>
    <w:rsid w:val="004231BE"/>
    <w:rsid w:val="0044006B"/>
    <w:rsid w:val="00443974"/>
    <w:rsid w:val="00450AF8"/>
    <w:rsid w:val="004522C5"/>
    <w:rsid w:val="0046243B"/>
    <w:rsid w:val="004714BE"/>
    <w:rsid w:val="0047198F"/>
    <w:rsid w:val="00487E25"/>
    <w:rsid w:val="00496040"/>
    <w:rsid w:val="004A2AD4"/>
    <w:rsid w:val="004B6421"/>
    <w:rsid w:val="004C6AA7"/>
    <w:rsid w:val="004C7C64"/>
    <w:rsid w:val="004D1842"/>
    <w:rsid w:val="004D39FB"/>
    <w:rsid w:val="004D464D"/>
    <w:rsid w:val="004E1DAF"/>
    <w:rsid w:val="004E251E"/>
    <w:rsid w:val="004E31D6"/>
    <w:rsid w:val="004E6D28"/>
    <w:rsid w:val="004F4AB7"/>
    <w:rsid w:val="004F4C43"/>
    <w:rsid w:val="005050A6"/>
    <w:rsid w:val="00511FE7"/>
    <w:rsid w:val="00515FAA"/>
    <w:rsid w:val="00531ECC"/>
    <w:rsid w:val="00533BD5"/>
    <w:rsid w:val="005364F3"/>
    <w:rsid w:val="00536819"/>
    <w:rsid w:val="00540457"/>
    <w:rsid w:val="00566D01"/>
    <w:rsid w:val="00567BD1"/>
    <w:rsid w:val="005702CD"/>
    <w:rsid w:val="00581703"/>
    <w:rsid w:val="005838A4"/>
    <w:rsid w:val="00587031"/>
    <w:rsid w:val="00590631"/>
    <w:rsid w:val="005914EC"/>
    <w:rsid w:val="005A0723"/>
    <w:rsid w:val="005D18A4"/>
    <w:rsid w:val="005E3FDC"/>
    <w:rsid w:val="00623703"/>
    <w:rsid w:val="00623FEC"/>
    <w:rsid w:val="006335EF"/>
    <w:rsid w:val="006457C8"/>
    <w:rsid w:val="0064643E"/>
    <w:rsid w:val="00663CBA"/>
    <w:rsid w:val="00664C12"/>
    <w:rsid w:val="0067003E"/>
    <w:rsid w:val="00671D92"/>
    <w:rsid w:val="00672A2B"/>
    <w:rsid w:val="00677FA3"/>
    <w:rsid w:val="006811A2"/>
    <w:rsid w:val="00686347"/>
    <w:rsid w:val="006864C5"/>
    <w:rsid w:val="0068734F"/>
    <w:rsid w:val="00693A11"/>
    <w:rsid w:val="00693C63"/>
    <w:rsid w:val="0069483C"/>
    <w:rsid w:val="006A16FA"/>
    <w:rsid w:val="006A4FE6"/>
    <w:rsid w:val="006B1C69"/>
    <w:rsid w:val="006C23C7"/>
    <w:rsid w:val="006C37A9"/>
    <w:rsid w:val="00710A1A"/>
    <w:rsid w:val="00711EBB"/>
    <w:rsid w:val="00715404"/>
    <w:rsid w:val="00733502"/>
    <w:rsid w:val="00737AFE"/>
    <w:rsid w:val="0074215D"/>
    <w:rsid w:val="00747CEC"/>
    <w:rsid w:val="00756A5D"/>
    <w:rsid w:val="00756CE0"/>
    <w:rsid w:val="00765D2D"/>
    <w:rsid w:val="00773BF6"/>
    <w:rsid w:val="00785D74"/>
    <w:rsid w:val="007956B4"/>
    <w:rsid w:val="00797B1D"/>
    <w:rsid w:val="007A1662"/>
    <w:rsid w:val="007A587E"/>
    <w:rsid w:val="007A6E71"/>
    <w:rsid w:val="007B0354"/>
    <w:rsid w:val="007C2A7D"/>
    <w:rsid w:val="007D02BF"/>
    <w:rsid w:val="007D25CA"/>
    <w:rsid w:val="007D4A7D"/>
    <w:rsid w:val="007D4A98"/>
    <w:rsid w:val="007D7146"/>
    <w:rsid w:val="007E0979"/>
    <w:rsid w:val="007E5EE5"/>
    <w:rsid w:val="007F09BF"/>
    <w:rsid w:val="008006B8"/>
    <w:rsid w:val="00807BF4"/>
    <w:rsid w:val="0081134D"/>
    <w:rsid w:val="00814F0E"/>
    <w:rsid w:val="008163C9"/>
    <w:rsid w:val="00817405"/>
    <w:rsid w:val="0082295D"/>
    <w:rsid w:val="008250D0"/>
    <w:rsid w:val="008276AC"/>
    <w:rsid w:val="0084428A"/>
    <w:rsid w:val="00844D35"/>
    <w:rsid w:val="0085195B"/>
    <w:rsid w:val="00853DC2"/>
    <w:rsid w:val="0085456A"/>
    <w:rsid w:val="00863433"/>
    <w:rsid w:val="008641B9"/>
    <w:rsid w:val="00865186"/>
    <w:rsid w:val="0086770A"/>
    <w:rsid w:val="00872073"/>
    <w:rsid w:val="00875328"/>
    <w:rsid w:val="0087607E"/>
    <w:rsid w:val="0087676A"/>
    <w:rsid w:val="00896836"/>
    <w:rsid w:val="008A295C"/>
    <w:rsid w:val="008C157E"/>
    <w:rsid w:val="008C3CF3"/>
    <w:rsid w:val="008D1CC8"/>
    <w:rsid w:val="008D355E"/>
    <w:rsid w:val="008E0E39"/>
    <w:rsid w:val="008E25B0"/>
    <w:rsid w:val="008E46AA"/>
    <w:rsid w:val="008E74E3"/>
    <w:rsid w:val="008F133B"/>
    <w:rsid w:val="008F53E0"/>
    <w:rsid w:val="008F77E9"/>
    <w:rsid w:val="00900F40"/>
    <w:rsid w:val="00906719"/>
    <w:rsid w:val="00907EAA"/>
    <w:rsid w:val="009113EB"/>
    <w:rsid w:val="00916865"/>
    <w:rsid w:val="00923C55"/>
    <w:rsid w:val="0093127F"/>
    <w:rsid w:val="0093528F"/>
    <w:rsid w:val="0094297C"/>
    <w:rsid w:val="00944E10"/>
    <w:rsid w:val="0094528D"/>
    <w:rsid w:val="00946F16"/>
    <w:rsid w:val="0094789B"/>
    <w:rsid w:val="00953ECC"/>
    <w:rsid w:val="009617AA"/>
    <w:rsid w:val="00962015"/>
    <w:rsid w:val="009704B5"/>
    <w:rsid w:val="0099694F"/>
    <w:rsid w:val="009971D4"/>
    <w:rsid w:val="009B7C5B"/>
    <w:rsid w:val="009C6B3B"/>
    <w:rsid w:val="009E29B9"/>
    <w:rsid w:val="009F2FFA"/>
    <w:rsid w:val="009F3BAC"/>
    <w:rsid w:val="009F440C"/>
    <w:rsid w:val="00A017E8"/>
    <w:rsid w:val="00A10C38"/>
    <w:rsid w:val="00A25CFC"/>
    <w:rsid w:val="00A27A48"/>
    <w:rsid w:val="00A365C5"/>
    <w:rsid w:val="00A375D0"/>
    <w:rsid w:val="00A52AA5"/>
    <w:rsid w:val="00A72D73"/>
    <w:rsid w:val="00A80F53"/>
    <w:rsid w:val="00A8112D"/>
    <w:rsid w:val="00A92C5B"/>
    <w:rsid w:val="00AA172A"/>
    <w:rsid w:val="00AA1FAE"/>
    <w:rsid w:val="00AB7BAB"/>
    <w:rsid w:val="00AD6046"/>
    <w:rsid w:val="00AD7852"/>
    <w:rsid w:val="00AE2869"/>
    <w:rsid w:val="00AE6666"/>
    <w:rsid w:val="00AF5EF9"/>
    <w:rsid w:val="00AF6BE0"/>
    <w:rsid w:val="00B107B3"/>
    <w:rsid w:val="00B129AA"/>
    <w:rsid w:val="00B13708"/>
    <w:rsid w:val="00B1528B"/>
    <w:rsid w:val="00B212CD"/>
    <w:rsid w:val="00B33EC5"/>
    <w:rsid w:val="00B36493"/>
    <w:rsid w:val="00B36904"/>
    <w:rsid w:val="00B37955"/>
    <w:rsid w:val="00B439DE"/>
    <w:rsid w:val="00B4541B"/>
    <w:rsid w:val="00B50783"/>
    <w:rsid w:val="00B70DC7"/>
    <w:rsid w:val="00B81753"/>
    <w:rsid w:val="00B835BC"/>
    <w:rsid w:val="00B85CCC"/>
    <w:rsid w:val="00B86C66"/>
    <w:rsid w:val="00B95410"/>
    <w:rsid w:val="00B959BA"/>
    <w:rsid w:val="00BA350D"/>
    <w:rsid w:val="00BA4668"/>
    <w:rsid w:val="00BB1A27"/>
    <w:rsid w:val="00BB2106"/>
    <w:rsid w:val="00BB23D2"/>
    <w:rsid w:val="00BC11C1"/>
    <w:rsid w:val="00BD2879"/>
    <w:rsid w:val="00BE0B08"/>
    <w:rsid w:val="00BE44C2"/>
    <w:rsid w:val="00BF4158"/>
    <w:rsid w:val="00BF58A7"/>
    <w:rsid w:val="00C023BF"/>
    <w:rsid w:val="00C039D3"/>
    <w:rsid w:val="00C07AC0"/>
    <w:rsid w:val="00C13452"/>
    <w:rsid w:val="00C17970"/>
    <w:rsid w:val="00C2045E"/>
    <w:rsid w:val="00C21308"/>
    <w:rsid w:val="00C40C2D"/>
    <w:rsid w:val="00C478CF"/>
    <w:rsid w:val="00C5333A"/>
    <w:rsid w:val="00C54067"/>
    <w:rsid w:val="00C57B60"/>
    <w:rsid w:val="00C634AB"/>
    <w:rsid w:val="00C63E75"/>
    <w:rsid w:val="00C6497B"/>
    <w:rsid w:val="00C65BB3"/>
    <w:rsid w:val="00C66EEC"/>
    <w:rsid w:val="00C67A32"/>
    <w:rsid w:val="00C723C1"/>
    <w:rsid w:val="00C810B5"/>
    <w:rsid w:val="00C9776C"/>
    <w:rsid w:val="00CA0F83"/>
    <w:rsid w:val="00CA29FD"/>
    <w:rsid w:val="00CA4008"/>
    <w:rsid w:val="00CB1065"/>
    <w:rsid w:val="00CB53EB"/>
    <w:rsid w:val="00CB6D6D"/>
    <w:rsid w:val="00CC35A5"/>
    <w:rsid w:val="00CD0B59"/>
    <w:rsid w:val="00CD4BEA"/>
    <w:rsid w:val="00CE6DDA"/>
    <w:rsid w:val="00CF0C57"/>
    <w:rsid w:val="00CF210C"/>
    <w:rsid w:val="00CF4393"/>
    <w:rsid w:val="00CF7953"/>
    <w:rsid w:val="00D010E1"/>
    <w:rsid w:val="00D041B8"/>
    <w:rsid w:val="00D13E1A"/>
    <w:rsid w:val="00D14893"/>
    <w:rsid w:val="00D33542"/>
    <w:rsid w:val="00D41E69"/>
    <w:rsid w:val="00D46A2D"/>
    <w:rsid w:val="00D52ECD"/>
    <w:rsid w:val="00D55749"/>
    <w:rsid w:val="00D5698F"/>
    <w:rsid w:val="00D56EEB"/>
    <w:rsid w:val="00D606E7"/>
    <w:rsid w:val="00D65A26"/>
    <w:rsid w:val="00D67B0B"/>
    <w:rsid w:val="00D76F5E"/>
    <w:rsid w:val="00D82A93"/>
    <w:rsid w:val="00D93B96"/>
    <w:rsid w:val="00D94E82"/>
    <w:rsid w:val="00DA3A88"/>
    <w:rsid w:val="00DA3AC9"/>
    <w:rsid w:val="00DA4CBF"/>
    <w:rsid w:val="00DC0CCC"/>
    <w:rsid w:val="00DC49C4"/>
    <w:rsid w:val="00DD1680"/>
    <w:rsid w:val="00DD66FB"/>
    <w:rsid w:val="00DE45A1"/>
    <w:rsid w:val="00DE46E7"/>
    <w:rsid w:val="00DE51D9"/>
    <w:rsid w:val="00DE5AD2"/>
    <w:rsid w:val="00E00F4E"/>
    <w:rsid w:val="00E07EA8"/>
    <w:rsid w:val="00E11C4C"/>
    <w:rsid w:val="00E13000"/>
    <w:rsid w:val="00E1434F"/>
    <w:rsid w:val="00E162DE"/>
    <w:rsid w:val="00E20606"/>
    <w:rsid w:val="00E22BC0"/>
    <w:rsid w:val="00E34C18"/>
    <w:rsid w:val="00E439E5"/>
    <w:rsid w:val="00E55944"/>
    <w:rsid w:val="00E6045E"/>
    <w:rsid w:val="00E66A53"/>
    <w:rsid w:val="00E74EA2"/>
    <w:rsid w:val="00E86E4D"/>
    <w:rsid w:val="00EB0AE8"/>
    <w:rsid w:val="00EB2733"/>
    <w:rsid w:val="00EB3D33"/>
    <w:rsid w:val="00EC0595"/>
    <w:rsid w:val="00ED5A95"/>
    <w:rsid w:val="00ED5FF7"/>
    <w:rsid w:val="00ED77B0"/>
    <w:rsid w:val="00ED7EF0"/>
    <w:rsid w:val="00EE1D9D"/>
    <w:rsid w:val="00EE3503"/>
    <w:rsid w:val="00EE592A"/>
    <w:rsid w:val="00EF1F97"/>
    <w:rsid w:val="00EF21F9"/>
    <w:rsid w:val="00F002FC"/>
    <w:rsid w:val="00F01D61"/>
    <w:rsid w:val="00F04285"/>
    <w:rsid w:val="00F0508B"/>
    <w:rsid w:val="00F102FC"/>
    <w:rsid w:val="00F10E45"/>
    <w:rsid w:val="00F1397C"/>
    <w:rsid w:val="00F14CE9"/>
    <w:rsid w:val="00F17734"/>
    <w:rsid w:val="00F20BA0"/>
    <w:rsid w:val="00F257BC"/>
    <w:rsid w:val="00F37CC7"/>
    <w:rsid w:val="00F424EA"/>
    <w:rsid w:val="00F47C05"/>
    <w:rsid w:val="00F549AD"/>
    <w:rsid w:val="00F61DCF"/>
    <w:rsid w:val="00F7345A"/>
    <w:rsid w:val="00F75B19"/>
    <w:rsid w:val="00F80AC8"/>
    <w:rsid w:val="00F85922"/>
    <w:rsid w:val="00F85A08"/>
    <w:rsid w:val="00F8649F"/>
    <w:rsid w:val="00F96421"/>
    <w:rsid w:val="00FA1FDA"/>
    <w:rsid w:val="00FA3EB2"/>
    <w:rsid w:val="00FB5A50"/>
    <w:rsid w:val="00FB78D1"/>
    <w:rsid w:val="00FC044E"/>
    <w:rsid w:val="00FC45A2"/>
    <w:rsid w:val="00FC6547"/>
    <w:rsid w:val="00FD04CD"/>
    <w:rsid w:val="00FD36B9"/>
    <w:rsid w:val="00FE3B81"/>
    <w:rsid w:val="00FF0963"/>
    <w:rsid w:val="00FF09D5"/>
    <w:rsid w:val="00FF1CD2"/>
    <w:rsid w:val="00FF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3681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36819"/>
    <w:rPr>
      <w:rFonts w:asciiTheme="majorHAnsi" w:eastAsiaTheme="majorEastAsia" w:hAnsiTheme="majorHAnsi" w:cstheme="majorBidi"/>
      <w:sz w:val="18"/>
      <w:szCs w:val="18"/>
    </w:rPr>
  </w:style>
  <w:style w:type="table" w:styleId="TableGrid">
    <w:name w:val="Table Grid"/>
    <w:basedOn w:val="TableNormal"/>
    <w:uiPriority w:val="59"/>
    <w:rsid w:val="00D65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57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3681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36819"/>
    <w:rPr>
      <w:rFonts w:asciiTheme="majorHAnsi" w:eastAsiaTheme="majorEastAsia" w:hAnsiTheme="majorHAnsi" w:cstheme="majorBidi"/>
      <w:sz w:val="18"/>
      <w:szCs w:val="18"/>
    </w:rPr>
  </w:style>
  <w:style w:type="table" w:styleId="TableGrid">
    <w:name w:val="Table Grid"/>
    <w:basedOn w:val="TableNormal"/>
    <w:uiPriority w:val="59"/>
    <w:rsid w:val="00D65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5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44061">
      <w:bodyDiv w:val="1"/>
      <w:marLeft w:val="0"/>
      <w:marRight w:val="0"/>
      <w:marTop w:val="0"/>
      <w:marBottom w:val="0"/>
      <w:divBdr>
        <w:top w:val="none" w:sz="0" w:space="0" w:color="auto"/>
        <w:left w:val="none" w:sz="0" w:space="0" w:color="auto"/>
        <w:bottom w:val="none" w:sz="0" w:space="0" w:color="auto"/>
        <w:right w:val="none" w:sz="0" w:space="0" w:color="auto"/>
      </w:divBdr>
    </w:div>
    <w:div w:id="327556270">
      <w:bodyDiv w:val="1"/>
      <w:marLeft w:val="0"/>
      <w:marRight w:val="0"/>
      <w:marTop w:val="0"/>
      <w:marBottom w:val="0"/>
      <w:divBdr>
        <w:top w:val="none" w:sz="0" w:space="0" w:color="auto"/>
        <w:left w:val="none" w:sz="0" w:space="0" w:color="auto"/>
        <w:bottom w:val="none" w:sz="0" w:space="0" w:color="auto"/>
        <w:right w:val="none" w:sz="0" w:space="0" w:color="auto"/>
      </w:divBdr>
    </w:div>
    <w:div w:id="744644916">
      <w:bodyDiv w:val="1"/>
      <w:marLeft w:val="0"/>
      <w:marRight w:val="0"/>
      <w:marTop w:val="0"/>
      <w:marBottom w:val="0"/>
      <w:divBdr>
        <w:top w:val="none" w:sz="0" w:space="0" w:color="auto"/>
        <w:left w:val="none" w:sz="0" w:space="0" w:color="auto"/>
        <w:bottom w:val="none" w:sz="0" w:space="0" w:color="auto"/>
        <w:right w:val="none" w:sz="0" w:space="0" w:color="auto"/>
      </w:divBdr>
    </w:div>
    <w:div w:id="1760717985">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 w:id="196511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MA2068\My%20Documents\ET-WISC\GISC&#26481;&#20140;&#12518;&#12540;&#12470;&#2596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MA2068\My%20Documents\ET-WISC\2013_GISC_Data_statisti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Sheet1!$K$3</c:f>
              <c:strCache>
                <c:ptCount val="1"/>
                <c:pt idx="0">
                  <c:v>I</c:v>
                </c:pt>
              </c:strCache>
            </c:strRef>
          </c:tx>
          <c:invertIfNegative val="0"/>
          <c:cat>
            <c:strRef>
              <c:f>Sheet1!$J$4:$J$11</c:f>
              <c:strCache>
                <c:ptCount val="8"/>
                <c:pt idx="0">
                  <c:v>2011/3Q</c:v>
                </c:pt>
                <c:pt idx="1">
                  <c:v>2011/4Q</c:v>
                </c:pt>
                <c:pt idx="2">
                  <c:v>2012/1Q</c:v>
                </c:pt>
                <c:pt idx="3">
                  <c:v>2012/2Q</c:v>
                </c:pt>
                <c:pt idx="4">
                  <c:v>2012/3Q</c:v>
                </c:pt>
                <c:pt idx="5">
                  <c:v>2012/4Q</c:v>
                </c:pt>
                <c:pt idx="6">
                  <c:v>2013/1Q</c:v>
                </c:pt>
                <c:pt idx="7">
                  <c:v>2013/2Q</c:v>
                </c:pt>
              </c:strCache>
            </c:strRef>
          </c:cat>
          <c:val>
            <c:numRef>
              <c:f>Sheet1!$K$4:$K$11</c:f>
              <c:numCache>
                <c:formatCode>General</c:formatCode>
                <c:ptCount val="8"/>
                <c:pt idx="2">
                  <c:v>1</c:v>
                </c:pt>
                <c:pt idx="3">
                  <c:v>2</c:v>
                </c:pt>
                <c:pt idx="4">
                  <c:v>2</c:v>
                </c:pt>
                <c:pt idx="5">
                  <c:v>2</c:v>
                </c:pt>
                <c:pt idx="6">
                  <c:v>2</c:v>
                </c:pt>
                <c:pt idx="7">
                  <c:v>2</c:v>
                </c:pt>
              </c:numCache>
            </c:numRef>
          </c:val>
        </c:ser>
        <c:ser>
          <c:idx val="1"/>
          <c:order val="1"/>
          <c:tx>
            <c:strRef>
              <c:f>Sheet1!$L$3</c:f>
              <c:strCache>
                <c:ptCount val="1"/>
                <c:pt idx="0">
                  <c:v>II</c:v>
                </c:pt>
              </c:strCache>
            </c:strRef>
          </c:tx>
          <c:invertIfNegative val="0"/>
          <c:cat>
            <c:strRef>
              <c:f>Sheet1!$J$4:$J$11</c:f>
              <c:strCache>
                <c:ptCount val="8"/>
                <c:pt idx="0">
                  <c:v>2011/3Q</c:v>
                </c:pt>
                <c:pt idx="1">
                  <c:v>2011/4Q</c:v>
                </c:pt>
                <c:pt idx="2">
                  <c:v>2012/1Q</c:v>
                </c:pt>
                <c:pt idx="3">
                  <c:v>2012/2Q</c:v>
                </c:pt>
                <c:pt idx="4">
                  <c:v>2012/3Q</c:v>
                </c:pt>
                <c:pt idx="5">
                  <c:v>2012/4Q</c:v>
                </c:pt>
                <c:pt idx="6">
                  <c:v>2013/1Q</c:v>
                </c:pt>
                <c:pt idx="7">
                  <c:v>2013/2Q</c:v>
                </c:pt>
              </c:strCache>
            </c:strRef>
          </c:cat>
          <c:val>
            <c:numRef>
              <c:f>Sheet1!$L$4:$L$11</c:f>
              <c:numCache>
                <c:formatCode>General</c:formatCode>
                <c:ptCount val="8"/>
                <c:pt idx="0">
                  <c:v>11</c:v>
                </c:pt>
                <c:pt idx="1">
                  <c:v>20</c:v>
                </c:pt>
                <c:pt idx="2">
                  <c:v>29</c:v>
                </c:pt>
                <c:pt idx="3">
                  <c:v>29</c:v>
                </c:pt>
                <c:pt idx="4">
                  <c:v>31</c:v>
                </c:pt>
                <c:pt idx="5">
                  <c:v>41</c:v>
                </c:pt>
                <c:pt idx="6">
                  <c:v>44</c:v>
                </c:pt>
                <c:pt idx="7">
                  <c:v>45</c:v>
                </c:pt>
              </c:numCache>
            </c:numRef>
          </c:val>
        </c:ser>
        <c:ser>
          <c:idx val="2"/>
          <c:order val="2"/>
          <c:tx>
            <c:strRef>
              <c:f>Sheet1!$M$3</c:f>
              <c:strCache>
                <c:ptCount val="1"/>
                <c:pt idx="0">
                  <c:v>III</c:v>
                </c:pt>
              </c:strCache>
            </c:strRef>
          </c:tx>
          <c:invertIfNegative val="0"/>
          <c:cat>
            <c:strRef>
              <c:f>Sheet1!$J$4:$J$11</c:f>
              <c:strCache>
                <c:ptCount val="8"/>
                <c:pt idx="0">
                  <c:v>2011/3Q</c:v>
                </c:pt>
                <c:pt idx="1">
                  <c:v>2011/4Q</c:v>
                </c:pt>
                <c:pt idx="2">
                  <c:v>2012/1Q</c:v>
                </c:pt>
                <c:pt idx="3">
                  <c:v>2012/2Q</c:v>
                </c:pt>
                <c:pt idx="4">
                  <c:v>2012/3Q</c:v>
                </c:pt>
                <c:pt idx="5">
                  <c:v>2012/4Q</c:v>
                </c:pt>
                <c:pt idx="6">
                  <c:v>2013/1Q</c:v>
                </c:pt>
                <c:pt idx="7">
                  <c:v>2013/2Q</c:v>
                </c:pt>
              </c:strCache>
            </c:strRef>
          </c:cat>
          <c:val>
            <c:numRef>
              <c:f>Sheet1!$M$4:$M$11</c:f>
              <c:numCache>
                <c:formatCode>General</c:formatCode>
                <c:ptCount val="8"/>
              </c:numCache>
            </c:numRef>
          </c:val>
        </c:ser>
        <c:ser>
          <c:idx val="3"/>
          <c:order val="3"/>
          <c:tx>
            <c:strRef>
              <c:f>Sheet1!$N$3</c:f>
              <c:strCache>
                <c:ptCount val="1"/>
                <c:pt idx="0">
                  <c:v>IV</c:v>
                </c:pt>
              </c:strCache>
            </c:strRef>
          </c:tx>
          <c:invertIfNegative val="0"/>
          <c:cat>
            <c:strRef>
              <c:f>Sheet1!$J$4:$J$11</c:f>
              <c:strCache>
                <c:ptCount val="8"/>
                <c:pt idx="0">
                  <c:v>2011/3Q</c:v>
                </c:pt>
                <c:pt idx="1">
                  <c:v>2011/4Q</c:v>
                </c:pt>
                <c:pt idx="2">
                  <c:v>2012/1Q</c:v>
                </c:pt>
                <c:pt idx="3">
                  <c:v>2012/2Q</c:v>
                </c:pt>
                <c:pt idx="4">
                  <c:v>2012/3Q</c:v>
                </c:pt>
                <c:pt idx="5">
                  <c:v>2012/4Q</c:v>
                </c:pt>
                <c:pt idx="6">
                  <c:v>2013/1Q</c:v>
                </c:pt>
                <c:pt idx="7">
                  <c:v>2013/2Q</c:v>
                </c:pt>
              </c:strCache>
            </c:strRef>
          </c:cat>
          <c:val>
            <c:numRef>
              <c:f>Sheet1!$N$4:$N$11</c:f>
              <c:numCache>
                <c:formatCode>General</c:formatCode>
                <c:ptCount val="8"/>
                <c:pt idx="1">
                  <c:v>3</c:v>
                </c:pt>
                <c:pt idx="2">
                  <c:v>4</c:v>
                </c:pt>
                <c:pt idx="3">
                  <c:v>4</c:v>
                </c:pt>
                <c:pt idx="4">
                  <c:v>4</c:v>
                </c:pt>
                <c:pt idx="5">
                  <c:v>4</c:v>
                </c:pt>
                <c:pt idx="6">
                  <c:v>4</c:v>
                </c:pt>
                <c:pt idx="7">
                  <c:v>4</c:v>
                </c:pt>
              </c:numCache>
            </c:numRef>
          </c:val>
        </c:ser>
        <c:ser>
          <c:idx val="4"/>
          <c:order val="4"/>
          <c:tx>
            <c:strRef>
              <c:f>Sheet1!$O$3</c:f>
              <c:strCache>
                <c:ptCount val="1"/>
                <c:pt idx="0">
                  <c:v>V</c:v>
                </c:pt>
              </c:strCache>
            </c:strRef>
          </c:tx>
          <c:invertIfNegative val="0"/>
          <c:cat>
            <c:strRef>
              <c:f>Sheet1!$J$4:$J$11</c:f>
              <c:strCache>
                <c:ptCount val="8"/>
                <c:pt idx="0">
                  <c:v>2011/3Q</c:v>
                </c:pt>
                <c:pt idx="1">
                  <c:v>2011/4Q</c:v>
                </c:pt>
                <c:pt idx="2">
                  <c:v>2012/1Q</c:v>
                </c:pt>
                <c:pt idx="3">
                  <c:v>2012/2Q</c:v>
                </c:pt>
                <c:pt idx="4">
                  <c:v>2012/3Q</c:v>
                </c:pt>
                <c:pt idx="5">
                  <c:v>2012/4Q</c:v>
                </c:pt>
                <c:pt idx="6">
                  <c:v>2013/1Q</c:v>
                </c:pt>
                <c:pt idx="7">
                  <c:v>2013/2Q</c:v>
                </c:pt>
              </c:strCache>
            </c:strRef>
          </c:cat>
          <c:val>
            <c:numRef>
              <c:f>Sheet1!$O$4:$O$11</c:f>
              <c:numCache>
                <c:formatCode>General</c:formatCode>
                <c:ptCount val="8"/>
                <c:pt idx="0">
                  <c:v>2</c:v>
                </c:pt>
                <c:pt idx="1">
                  <c:v>10</c:v>
                </c:pt>
                <c:pt idx="2">
                  <c:v>19</c:v>
                </c:pt>
                <c:pt idx="3">
                  <c:v>19</c:v>
                </c:pt>
                <c:pt idx="4">
                  <c:v>20</c:v>
                </c:pt>
                <c:pt idx="5">
                  <c:v>22</c:v>
                </c:pt>
                <c:pt idx="6">
                  <c:v>22</c:v>
                </c:pt>
                <c:pt idx="7">
                  <c:v>22</c:v>
                </c:pt>
              </c:numCache>
            </c:numRef>
          </c:val>
        </c:ser>
        <c:ser>
          <c:idx val="5"/>
          <c:order val="5"/>
          <c:tx>
            <c:strRef>
              <c:f>Sheet1!$P$3</c:f>
              <c:strCache>
                <c:ptCount val="1"/>
                <c:pt idx="0">
                  <c:v>VI</c:v>
                </c:pt>
              </c:strCache>
            </c:strRef>
          </c:tx>
          <c:invertIfNegative val="0"/>
          <c:cat>
            <c:strRef>
              <c:f>Sheet1!$J$4:$J$11</c:f>
              <c:strCache>
                <c:ptCount val="8"/>
                <c:pt idx="0">
                  <c:v>2011/3Q</c:v>
                </c:pt>
                <c:pt idx="1">
                  <c:v>2011/4Q</c:v>
                </c:pt>
                <c:pt idx="2">
                  <c:v>2012/1Q</c:v>
                </c:pt>
                <c:pt idx="3">
                  <c:v>2012/2Q</c:v>
                </c:pt>
                <c:pt idx="4">
                  <c:v>2012/3Q</c:v>
                </c:pt>
                <c:pt idx="5">
                  <c:v>2012/4Q</c:v>
                </c:pt>
                <c:pt idx="6">
                  <c:v>2013/1Q</c:v>
                </c:pt>
                <c:pt idx="7">
                  <c:v>2013/2Q</c:v>
                </c:pt>
              </c:strCache>
            </c:strRef>
          </c:cat>
          <c:val>
            <c:numRef>
              <c:f>Sheet1!$P$4:$P$11</c:f>
              <c:numCache>
                <c:formatCode>General</c:formatCode>
                <c:ptCount val="8"/>
              </c:numCache>
            </c:numRef>
          </c:val>
        </c:ser>
        <c:dLbls>
          <c:showLegendKey val="0"/>
          <c:showVal val="0"/>
          <c:showCatName val="0"/>
          <c:showSerName val="0"/>
          <c:showPercent val="0"/>
          <c:showBubbleSize val="0"/>
        </c:dLbls>
        <c:gapWidth val="150"/>
        <c:overlap val="100"/>
        <c:axId val="188647296"/>
        <c:axId val="188648832"/>
      </c:barChart>
      <c:catAx>
        <c:axId val="188647296"/>
        <c:scaling>
          <c:orientation val="minMax"/>
        </c:scaling>
        <c:delete val="0"/>
        <c:axPos val="b"/>
        <c:majorTickMark val="out"/>
        <c:minorTickMark val="none"/>
        <c:tickLblPos val="nextTo"/>
        <c:txPr>
          <a:bodyPr/>
          <a:lstStyle/>
          <a:p>
            <a:pPr>
              <a:defRPr lang="ja-JP"/>
            </a:pPr>
            <a:endParaRPr lang="en-US"/>
          </a:p>
        </c:txPr>
        <c:crossAx val="188648832"/>
        <c:crosses val="autoZero"/>
        <c:auto val="1"/>
        <c:lblAlgn val="ctr"/>
        <c:lblOffset val="100"/>
        <c:noMultiLvlLbl val="0"/>
      </c:catAx>
      <c:valAx>
        <c:axId val="188648832"/>
        <c:scaling>
          <c:orientation val="minMax"/>
        </c:scaling>
        <c:delete val="0"/>
        <c:axPos val="l"/>
        <c:majorGridlines/>
        <c:numFmt formatCode="General" sourceLinked="1"/>
        <c:majorTickMark val="out"/>
        <c:minorTickMark val="none"/>
        <c:tickLblPos val="nextTo"/>
        <c:txPr>
          <a:bodyPr/>
          <a:lstStyle/>
          <a:p>
            <a:pPr>
              <a:defRPr lang="ja-JP"/>
            </a:pPr>
            <a:endParaRPr lang="en-US"/>
          </a:p>
        </c:txPr>
        <c:crossAx val="188647296"/>
        <c:crosses val="autoZero"/>
        <c:crossBetween val="between"/>
      </c:valAx>
    </c:plotArea>
    <c:legend>
      <c:legendPos val="r"/>
      <c:layout/>
      <c:overlay val="0"/>
      <c:txPr>
        <a:bodyPr/>
        <a:lstStyle/>
        <a:p>
          <a:pPr>
            <a:defRPr lang="ja-JP"/>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ja-JP"/>
            </a:pPr>
            <a:r>
              <a:rPr lang="en-US" sz="1200"/>
              <a:t>Average Daily Download Volume</a:t>
            </a:r>
          </a:p>
        </c:rich>
      </c:tx>
      <c:layout>
        <c:manualLayout>
          <c:xMode val="edge"/>
          <c:yMode val="edge"/>
          <c:x val="0.29033285377638207"/>
          <c:y val="3.6817083416980811E-2"/>
        </c:manualLayout>
      </c:layout>
      <c:overlay val="0"/>
    </c:title>
    <c:autoTitleDeleted val="0"/>
    <c:plotArea>
      <c:layout>
        <c:manualLayout>
          <c:layoutTarget val="inner"/>
          <c:xMode val="edge"/>
          <c:yMode val="edge"/>
          <c:x val="0.1043528707545468"/>
          <c:y val="0.13965457268970893"/>
          <c:w val="0.85425951144923562"/>
          <c:h val="0.7003789505572926"/>
        </c:manualLayout>
      </c:layout>
      <c:barChart>
        <c:barDir val="col"/>
        <c:grouping val="stacked"/>
        <c:varyColors val="0"/>
        <c:ser>
          <c:idx val="0"/>
          <c:order val="0"/>
          <c:tx>
            <c:strRef>
              <c:f>Sheet1!$D$6</c:f>
              <c:strCache>
                <c:ptCount val="1"/>
                <c:pt idx="0">
                  <c:v>Transmission/day</c:v>
                </c:pt>
              </c:strCache>
            </c:strRef>
          </c:tx>
          <c:invertIfNegative val="0"/>
          <c:cat>
            <c:numRef>
              <c:f>Sheet1!$C$7:$C$28</c:f>
              <c:numCache>
                <c:formatCode>[$-409]mmm\-yyyy;@</c:formatCode>
                <c:ptCount val="22"/>
                <c:pt idx="0">
                  <c:v>40756</c:v>
                </c:pt>
                <c:pt idx="1">
                  <c:v>40787</c:v>
                </c:pt>
                <c:pt idx="2">
                  <c:v>40817</c:v>
                </c:pt>
                <c:pt idx="3">
                  <c:v>40848</c:v>
                </c:pt>
                <c:pt idx="4">
                  <c:v>40878</c:v>
                </c:pt>
                <c:pt idx="5">
                  <c:v>40909</c:v>
                </c:pt>
                <c:pt idx="6">
                  <c:v>40940</c:v>
                </c:pt>
                <c:pt idx="7">
                  <c:v>40969</c:v>
                </c:pt>
                <c:pt idx="8">
                  <c:v>41000</c:v>
                </c:pt>
                <c:pt idx="9">
                  <c:v>41030</c:v>
                </c:pt>
                <c:pt idx="10">
                  <c:v>41061</c:v>
                </c:pt>
                <c:pt idx="11">
                  <c:v>41091</c:v>
                </c:pt>
                <c:pt idx="12">
                  <c:v>41122</c:v>
                </c:pt>
                <c:pt idx="13">
                  <c:v>41153</c:v>
                </c:pt>
                <c:pt idx="14">
                  <c:v>41183</c:v>
                </c:pt>
                <c:pt idx="15">
                  <c:v>41214</c:v>
                </c:pt>
                <c:pt idx="16">
                  <c:v>41244</c:v>
                </c:pt>
                <c:pt idx="17">
                  <c:v>41275</c:v>
                </c:pt>
                <c:pt idx="18">
                  <c:v>41306</c:v>
                </c:pt>
                <c:pt idx="19">
                  <c:v>41334</c:v>
                </c:pt>
                <c:pt idx="20">
                  <c:v>41365</c:v>
                </c:pt>
                <c:pt idx="21">
                  <c:v>41395</c:v>
                </c:pt>
              </c:numCache>
            </c:numRef>
          </c:cat>
          <c:val>
            <c:numRef>
              <c:f>Sheet1!$D$7:$D$28</c:f>
              <c:numCache>
                <c:formatCode>0_ </c:formatCode>
                <c:ptCount val="22"/>
                <c:pt idx="0">
                  <c:v>418549796.6451633</c:v>
                </c:pt>
                <c:pt idx="1">
                  <c:v>563761918.23333645</c:v>
                </c:pt>
                <c:pt idx="2">
                  <c:v>760011680.96774197</c:v>
                </c:pt>
                <c:pt idx="3">
                  <c:v>1195300510.3666668</c:v>
                </c:pt>
                <c:pt idx="4">
                  <c:v>4909750180.8387098</c:v>
                </c:pt>
                <c:pt idx="5">
                  <c:v>27766853737.935501</c:v>
                </c:pt>
                <c:pt idx="6">
                  <c:v>29506223311.72414</c:v>
                </c:pt>
                <c:pt idx="7">
                  <c:v>94576483930.6129</c:v>
                </c:pt>
                <c:pt idx="8">
                  <c:v>205830922973.5</c:v>
                </c:pt>
                <c:pt idx="9">
                  <c:v>183542919807.12903</c:v>
                </c:pt>
                <c:pt idx="10">
                  <c:v>187028028695.26691</c:v>
                </c:pt>
                <c:pt idx="11">
                  <c:v>207811258920.58066</c:v>
                </c:pt>
                <c:pt idx="12">
                  <c:v>148214771018.2258</c:v>
                </c:pt>
                <c:pt idx="13">
                  <c:v>107788651312.63342</c:v>
                </c:pt>
                <c:pt idx="14">
                  <c:v>98657024737.806458</c:v>
                </c:pt>
                <c:pt idx="15">
                  <c:v>89807311699.800003</c:v>
                </c:pt>
                <c:pt idx="16">
                  <c:v>88757813837.419342</c:v>
                </c:pt>
                <c:pt idx="17">
                  <c:v>90741403054.129227</c:v>
                </c:pt>
                <c:pt idx="18">
                  <c:v>92566646642.75</c:v>
                </c:pt>
                <c:pt idx="19">
                  <c:v>95916658886.967743</c:v>
                </c:pt>
                <c:pt idx="20">
                  <c:v>96728164575.866669</c:v>
                </c:pt>
                <c:pt idx="21">
                  <c:v>103749331941.90323</c:v>
                </c:pt>
              </c:numCache>
            </c:numRef>
          </c:val>
        </c:ser>
        <c:dLbls>
          <c:showLegendKey val="0"/>
          <c:showVal val="0"/>
          <c:showCatName val="0"/>
          <c:showSerName val="0"/>
          <c:showPercent val="0"/>
          <c:showBubbleSize val="0"/>
        </c:dLbls>
        <c:gapWidth val="46"/>
        <c:overlap val="100"/>
        <c:axId val="188825984"/>
        <c:axId val="188827520"/>
      </c:barChart>
      <c:dateAx>
        <c:axId val="188825984"/>
        <c:scaling>
          <c:orientation val="minMax"/>
        </c:scaling>
        <c:delete val="0"/>
        <c:axPos val="b"/>
        <c:numFmt formatCode="[$-409]mmm\-yy;@" sourceLinked="0"/>
        <c:majorTickMark val="out"/>
        <c:minorTickMark val="none"/>
        <c:tickLblPos val="nextTo"/>
        <c:txPr>
          <a:bodyPr rot="-5400000" vert="horz"/>
          <a:lstStyle/>
          <a:p>
            <a:pPr>
              <a:defRPr lang="ja-JP" sz="900" baseline="0">
                <a:latin typeface="Arial" pitchFamily="34" charset="0"/>
              </a:defRPr>
            </a:pPr>
            <a:endParaRPr lang="en-US"/>
          </a:p>
        </c:txPr>
        <c:crossAx val="188827520"/>
        <c:crosses val="autoZero"/>
        <c:auto val="1"/>
        <c:lblOffset val="100"/>
        <c:baseTimeUnit val="months"/>
      </c:dateAx>
      <c:valAx>
        <c:axId val="188827520"/>
        <c:scaling>
          <c:orientation val="minMax"/>
        </c:scaling>
        <c:delete val="0"/>
        <c:axPos val="l"/>
        <c:majorGridlines/>
        <c:numFmt formatCode="0_ " sourceLinked="1"/>
        <c:majorTickMark val="out"/>
        <c:minorTickMark val="none"/>
        <c:tickLblPos val="nextTo"/>
        <c:txPr>
          <a:bodyPr/>
          <a:lstStyle/>
          <a:p>
            <a:pPr>
              <a:defRPr lang="ja-JP"/>
            </a:pPr>
            <a:endParaRPr lang="en-US"/>
          </a:p>
        </c:txPr>
        <c:crossAx val="188825984"/>
        <c:crosses val="autoZero"/>
        <c:crossBetween val="between"/>
        <c:dispUnits>
          <c:builtInUnit val="billions"/>
          <c:dispUnitsLbl>
            <c:layout>
              <c:manualLayout>
                <c:xMode val="edge"/>
                <c:yMode val="edge"/>
                <c:x val="8.1546348762480802E-3"/>
                <c:y val="0.42861455716248248"/>
              </c:manualLayout>
            </c:layout>
            <c:tx>
              <c:rich>
                <a:bodyPr/>
                <a:lstStyle/>
                <a:p>
                  <a:pPr>
                    <a:defRPr lang="ja-JP"/>
                  </a:pPr>
                  <a:r>
                    <a:rPr lang="en-US" sz="900"/>
                    <a:t>GB/ day</a:t>
                  </a:r>
                  <a:endParaRPr lang="ja-JP" sz="900"/>
                </a:p>
              </c:rich>
            </c:tx>
          </c:dispUnitsLbl>
        </c:dispUnits>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D992D-BB54-4309-8CE3-AFDCC8967535}">
  <ds:schemaRefs>
    <ds:schemaRef ds:uri="http://schemas.openxmlformats.org/officeDocument/2006/bibliography"/>
  </ds:schemaRefs>
</ds:datastoreItem>
</file>

<file path=customXml/itemProps2.xml><?xml version="1.0" encoding="utf-8"?>
<ds:datastoreItem xmlns:ds="http://schemas.openxmlformats.org/officeDocument/2006/customXml" ds:itemID="{6F9CB728-CEE2-4177-AB96-F4A1BB97B6DB}"/>
</file>

<file path=customXml/itemProps3.xml><?xml version="1.0" encoding="utf-8"?>
<ds:datastoreItem xmlns:ds="http://schemas.openxmlformats.org/officeDocument/2006/customXml" ds:itemID="{555C09C5-F9E2-4541-B55B-E49DF469553D}"/>
</file>

<file path=customXml/itemProps4.xml><?xml version="1.0" encoding="utf-8"?>
<ds:datastoreItem xmlns:ds="http://schemas.openxmlformats.org/officeDocument/2006/customXml" ds:itemID="{08215DB1-CF09-4839-89CD-40B635C1A870}"/>
</file>

<file path=docProps/app.xml><?xml version="1.0" encoding="utf-8"?>
<Properties xmlns="http://schemas.openxmlformats.org/officeDocument/2006/extended-properties" xmlns:vt="http://schemas.openxmlformats.org/officeDocument/2006/docPropsVTypes">
  <Template>Normal.dotm</Template>
  <TotalTime>0</TotalTime>
  <Pages>5</Pages>
  <Words>634</Words>
  <Characters>3615</Characters>
  <Application>Microsoft Office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ET-WISC</vt:lpstr>
      <vt:lpstr/>
    </vt:vector>
  </TitlesOfParts>
  <Company>WMO</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Status Report of JMA</dc:subject>
  <dc:creator>Shigeharu NISHIKAWA </dc:creator>
  <cp:keywords/>
  <dc:description/>
  <cp:lastModifiedBy>David Thomas</cp:lastModifiedBy>
  <cp:revision>2</cp:revision>
  <cp:lastPrinted>2013-06-11T05:39:00Z</cp:lastPrinted>
  <dcterms:created xsi:type="dcterms:W3CDTF">2013-07-08T09:42:00Z</dcterms:created>
  <dcterms:modified xsi:type="dcterms:W3CDTF">2013-07-08T09:42:00Z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