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theme/themeOverride1.xml" ContentType="application/vnd.openxmlformats-officedocument.themeOverrid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C" w:rsidRDefault="0069483C" w:rsidP="0069483C">
      <w:pPr>
        <w:pStyle w:val="Heading1"/>
        <w:rPr>
          <w:lang w:eastAsia="ja-JP"/>
        </w:rPr>
      </w:pPr>
      <w:r w:rsidRPr="00536819">
        <w:rPr>
          <w:lang w:eastAsia="ja-JP"/>
        </w:rPr>
        <w:t>7.3</w:t>
      </w:r>
      <w:r w:rsidRPr="00536819">
        <w:rPr>
          <w:lang w:eastAsia="ja-JP"/>
        </w:rPr>
        <w:tab/>
        <w:t>GISC workshops and training activities</w:t>
      </w:r>
    </w:p>
    <w:p w:rsidR="0069483C" w:rsidRDefault="0069483C" w:rsidP="0069483C">
      <w:pPr>
        <w:pStyle w:val="Heading2"/>
        <w:rPr>
          <w:lang w:eastAsia="ja-JP"/>
        </w:rPr>
      </w:pPr>
      <w:r w:rsidRPr="009F3A18">
        <w:rPr>
          <w:lang w:eastAsia="ja-JP"/>
        </w:rPr>
        <w:t>JMA</w:t>
      </w:r>
      <w:r>
        <w:rPr>
          <w:rFonts w:hint="eastAsia"/>
          <w:lang w:eastAsia="ja-JP"/>
        </w:rPr>
        <w:t xml:space="preserve"> </w:t>
      </w:r>
      <w:r w:rsidRPr="009F3A18">
        <w:rPr>
          <w:lang w:eastAsia="ja-JP"/>
        </w:rPr>
        <w:t>workshop on WIS Implementation</w:t>
      </w:r>
    </w:p>
    <w:p w:rsidR="0069483C" w:rsidRDefault="0069483C" w:rsidP="003D7654">
      <w:pPr>
        <w:rPr>
          <w:lang w:eastAsia="ja-JP"/>
        </w:rPr>
      </w:pPr>
      <w:r>
        <w:rPr>
          <w:rFonts w:hint="eastAsia"/>
          <w:lang w:eastAsia="ja-JP"/>
        </w:rPr>
        <w:t>This workshop</w:t>
      </w:r>
      <w:r w:rsidR="00CB1065">
        <w:rPr>
          <w:rFonts w:hint="eastAsia"/>
          <w:lang w:eastAsia="ja-JP"/>
        </w:rPr>
        <w:t xml:space="preserve"> </w:t>
      </w:r>
      <w:r>
        <w:rPr>
          <w:lang w:eastAsia="ja-JP"/>
        </w:rPr>
        <w:t xml:space="preserve">was held at JMA Headquarters in Tokyo, from 22 to 24 October 2012. </w:t>
      </w:r>
      <w:r>
        <w:rPr>
          <w:rFonts w:hint="eastAsia"/>
          <w:lang w:eastAsia="ja-JP"/>
        </w:rPr>
        <w:t>It</w:t>
      </w:r>
      <w:r>
        <w:rPr>
          <w:lang w:eastAsia="ja-JP"/>
        </w:rPr>
        <w:t xml:space="preserve"> was attended by sixteen participants from eight National Meteorological and Hydrological Services (NMHSs) in Bangladesh, Cambodia, Laos, Myanmar, Philippines, Sri Lanka, Thailand and Viet Nam.</w:t>
      </w:r>
    </w:p>
    <w:p w:rsidR="0069483C" w:rsidRDefault="0069483C" w:rsidP="003D7654">
      <w:pPr>
        <w:rPr>
          <w:lang w:eastAsia="ja-JP"/>
        </w:rPr>
      </w:pPr>
      <w:r>
        <w:rPr>
          <w:lang w:eastAsia="ja-JP"/>
        </w:rPr>
        <w:t>This workshop was aimed at participants with an intention to deepen their understanding about WIS. Through a number of presentations, practical exercises, discussions and technical visits, the workshop provided an opportunity for partici</w:t>
      </w:r>
      <w:bookmarkStart w:id="0" w:name="_GoBack"/>
      <w:bookmarkEnd w:id="0"/>
      <w:r>
        <w:rPr>
          <w:lang w:eastAsia="ja-JP"/>
        </w:rPr>
        <w:t>pants to more deeply understand benefits expected from WIS, current situation of WIS implementation and future plans of WIS.</w:t>
      </w:r>
    </w:p>
    <w:p w:rsidR="00A0202B" w:rsidRPr="00A0202B" w:rsidRDefault="00A0202B" w:rsidP="0095771A">
      <w:pPr>
        <w:pStyle w:val="Heading3"/>
        <w:rPr>
          <w:lang w:eastAsia="ja-JP"/>
        </w:rPr>
      </w:pPr>
      <w:r w:rsidRPr="00A0202B">
        <w:rPr>
          <w:lang w:eastAsia="ja-JP"/>
        </w:rPr>
        <w:t>Summary of the JMA workshop on WIS Implementation and consideration</w:t>
      </w:r>
    </w:p>
    <w:p w:rsidR="00A0202B" w:rsidRDefault="00A0202B" w:rsidP="003D7654">
      <w:pPr>
        <w:rPr>
          <w:lang w:eastAsia="ja-JP"/>
        </w:rPr>
      </w:pPr>
      <w:r>
        <w:rPr>
          <w:lang w:eastAsia="ja-JP"/>
        </w:rPr>
        <w:t xml:space="preserve">The meeting shared a vision that the WIS expands a single-coordinated data management from GTS to all WMO </w:t>
      </w:r>
      <w:r w:rsidR="00371CFD">
        <w:rPr>
          <w:lang w:eastAsia="ja-JP"/>
        </w:rPr>
        <w:t>programme and</w:t>
      </w:r>
      <w:r>
        <w:rPr>
          <w:lang w:eastAsia="ja-JP"/>
        </w:rPr>
        <w:t xml:space="preserve"> </w:t>
      </w:r>
      <w:r w:rsidR="00371CFD">
        <w:rPr>
          <w:lang w:eastAsia="ja-JP"/>
        </w:rPr>
        <w:t>further to</w:t>
      </w:r>
      <w:r>
        <w:rPr>
          <w:lang w:eastAsia="ja-JP"/>
        </w:rPr>
        <w:t xml:space="preserve"> other international data systems. It also acknowledged with satisfaction that, as a part of the vision, the WIS metadata management has started in some DCPCs operated by JMA associated to GISC Tokyo.</w:t>
      </w:r>
    </w:p>
    <w:p w:rsidR="00A0202B" w:rsidRDefault="00A0202B" w:rsidP="003D7654">
      <w:pPr>
        <w:rPr>
          <w:lang w:eastAsia="ja-JP"/>
        </w:rPr>
      </w:pPr>
      <w:r>
        <w:rPr>
          <w:lang w:eastAsia="ja-JP"/>
        </w:rPr>
        <w:t>Participants noted with satisfaction that the Excel-based WIS metadata creation tool is one of the powerful solutions for migrating from GTS bulletin catalogue into WIS discovery metadata, and supported further refinement of this tool. The workshop requested that the development should be part of WIS Application Pilot Project.</w:t>
      </w:r>
    </w:p>
    <w:p w:rsidR="00A0202B" w:rsidRDefault="00A0202B" w:rsidP="003D7654">
      <w:pPr>
        <w:rPr>
          <w:lang w:eastAsia="ja-JP"/>
        </w:rPr>
      </w:pPr>
      <w:r>
        <w:rPr>
          <w:lang w:eastAsia="ja-JP"/>
        </w:rPr>
        <w:t xml:space="preserve">According to a questionnaire conducted after the workshop, JMA </w:t>
      </w:r>
      <w:r w:rsidR="00CA17BB">
        <w:rPr>
          <w:rFonts w:hint="eastAsia"/>
          <w:lang w:eastAsia="ja-JP"/>
        </w:rPr>
        <w:t>had</w:t>
      </w:r>
      <w:r>
        <w:rPr>
          <w:lang w:eastAsia="ja-JP"/>
        </w:rPr>
        <w:t xml:space="preserve"> a favorable reception. JMA has been recognized that the participants want to take enough time for the lecture with a focus on practical training as an issue in the next workshop and there has a high level of interest in the WIS Metadata among the participants.</w:t>
      </w:r>
    </w:p>
    <w:p w:rsidR="00A0202B" w:rsidRDefault="00A0202B" w:rsidP="00A0202B">
      <w:pPr>
        <w:rPr>
          <w:lang w:eastAsia="ja-JP"/>
        </w:rPr>
      </w:pPr>
    </w:p>
    <w:p w:rsidR="00D24143" w:rsidRDefault="00D24143" w:rsidP="00A0202B">
      <w:pPr>
        <w:rPr>
          <w:lang w:eastAsia="ja-JP"/>
        </w:rPr>
      </w:pPr>
    </w:p>
    <w:p w:rsidR="00D24143" w:rsidRDefault="00D24143" w:rsidP="00A0202B">
      <w:pPr>
        <w:rPr>
          <w:lang w:eastAsia="ja-JP"/>
        </w:rPr>
      </w:pPr>
    </w:p>
    <w:p w:rsidR="00D24143" w:rsidRDefault="00D24143" w:rsidP="001C2762">
      <w:pPr>
        <w:jc w:val="center"/>
        <w:rPr>
          <w:lang w:eastAsia="ja-JP"/>
        </w:rPr>
      </w:pPr>
      <w:r w:rsidRPr="00D24143">
        <w:rPr>
          <w:noProof/>
          <w:lang w:val="en-GB" w:eastAsia="zh-CN"/>
        </w:rPr>
        <w:drawing>
          <wp:inline distT="0" distB="0" distL="0" distR="0">
            <wp:extent cx="4800600" cy="2581275"/>
            <wp:effectExtent l="19050" t="0" r="19050" b="0"/>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02B" w:rsidRDefault="00D24143" w:rsidP="001C2762">
      <w:pPr>
        <w:jc w:val="center"/>
        <w:rPr>
          <w:lang w:eastAsia="ja-JP"/>
        </w:rPr>
      </w:pPr>
      <w:r w:rsidRPr="00D24143">
        <w:rPr>
          <w:noProof/>
          <w:lang w:val="en-GB" w:eastAsia="zh-CN"/>
        </w:rPr>
        <w:drawing>
          <wp:inline distT="0" distB="0" distL="0" distR="0">
            <wp:extent cx="4800600" cy="2867025"/>
            <wp:effectExtent l="19050" t="0" r="19050" b="0"/>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762" w:rsidRDefault="001C2762" w:rsidP="001C2762">
      <w:pPr>
        <w:jc w:val="center"/>
        <w:rPr>
          <w:lang w:eastAsia="ja-JP"/>
        </w:rPr>
      </w:pPr>
    </w:p>
    <w:p w:rsidR="001C2762" w:rsidRDefault="001C2762" w:rsidP="001C2762">
      <w:pPr>
        <w:jc w:val="center"/>
        <w:rPr>
          <w:lang w:eastAsia="ja-JP"/>
        </w:rPr>
      </w:pPr>
    </w:p>
    <w:p w:rsidR="001C2762" w:rsidRDefault="001C2762" w:rsidP="001C2762">
      <w:pPr>
        <w:jc w:val="center"/>
        <w:rPr>
          <w:lang w:eastAsia="ja-JP"/>
        </w:rPr>
      </w:pPr>
    </w:p>
    <w:p w:rsidR="001C2762" w:rsidRDefault="001C2762" w:rsidP="00D24143">
      <w:pPr>
        <w:rPr>
          <w:lang w:eastAsia="ja-JP"/>
        </w:rPr>
      </w:pPr>
    </w:p>
    <w:p w:rsidR="00A0202B" w:rsidRDefault="00A0202B" w:rsidP="00D24143">
      <w:pPr>
        <w:rPr>
          <w:lang w:eastAsia="ja-JP"/>
        </w:rPr>
      </w:pPr>
      <w:r w:rsidRPr="00A0202B">
        <w:rPr>
          <w:noProof/>
          <w:lang w:val="en-GB" w:eastAsia="zh-CN"/>
        </w:rPr>
        <w:lastRenderedPageBreak/>
        <w:drawing>
          <wp:inline distT="0" distB="0" distL="0" distR="0">
            <wp:extent cx="5972175" cy="2447925"/>
            <wp:effectExtent l="19050" t="0" r="9525" b="0"/>
            <wp:docPr id="1"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tblInd w:w="108" w:type="dxa"/>
        <w:tblLook w:val="04A0" w:firstRow="1" w:lastRow="0" w:firstColumn="1" w:lastColumn="0" w:noHBand="0" w:noVBand="1"/>
      </w:tblPr>
      <w:tblGrid>
        <w:gridCol w:w="9450"/>
      </w:tblGrid>
      <w:tr w:rsidR="00F05886" w:rsidTr="00F05886">
        <w:tc>
          <w:tcPr>
            <w:tcW w:w="9450" w:type="dxa"/>
          </w:tcPr>
          <w:p w:rsidR="00F05886" w:rsidRPr="00F3051D" w:rsidRDefault="00F05886" w:rsidP="00F05886">
            <w:pPr>
              <w:pStyle w:val="ListParagraph"/>
              <w:numPr>
                <w:ilvl w:val="0"/>
                <w:numId w:val="12"/>
              </w:numPr>
              <w:rPr>
                <w:sz w:val="21"/>
                <w:lang w:eastAsia="ja-JP"/>
              </w:rPr>
            </w:pPr>
            <w:r w:rsidRPr="00F3051D">
              <w:rPr>
                <w:sz w:val="21"/>
                <w:lang w:eastAsia="ja-JP"/>
              </w:rPr>
              <w:t>Keynote lecture -Overview of the WMO Information System</w:t>
            </w:r>
          </w:p>
          <w:p w:rsidR="00F05886" w:rsidRPr="00F3051D" w:rsidRDefault="00F05886" w:rsidP="00F05886">
            <w:pPr>
              <w:pStyle w:val="ListParagraph"/>
              <w:numPr>
                <w:ilvl w:val="0"/>
                <w:numId w:val="12"/>
              </w:numPr>
              <w:rPr>
                <w:sz w:val="21"/>
                <w:lang w:eastAsia="ja-JP"/>
              </w:rPr>
            </w:pPr>
            <w:r w:rsidRPr="00F3051D">
              <w:rPr>
                <w:sz w:val="21"/>
                <w:lang w:eastAsia="ja-JP"/>
              </w:rPr>
              <w:t>Introduction to GISC Tokyo Portal system</w:t>
            </w:r>
          </w:p>
          <w:p w:rsidR="00F05886" w:rsidRPr="00F3051D" w:rsidRDefault="00F05886" w:rsidP="00F05886">
            <w:pPr>
              <w:pStyle w:val="ListParagraph"/>
              <w:numPr>
                <w:ilvl w:val="0"/>
                <w:numId w:val="12"/>
              </w:numPr>
              <w:rPr>
                <w:sz w:val="21"/>
                <w:lang w:eastAsia="ja-JP"/>
              </w:rPr>
            </w:pPr>
            <w:r w:rsidRPr="00F3051D">
              <w:rPr>
                <w:sz w:val="21"/>
                <w:lang w:eastAsia="ja-JP"/>
              </w:rPr>
              <w:t>Lecture and Training for users of GISC Tokyo Portal system: WIS Metadata</w:t>
            </w:r>
          </w:p>
          <w:p w:rsidR="00F05886" w:rsidRPr="00F3051D" w:rsidRDefault="00F05886" w:rsidP="00F05886">
            <w:pPr>
              <w:pStyle w:val="ListParagraph"/>
              <w:numPr>
                <w:ilvl w:val="0"/>
                <w:numId w:val="12"/>
              </w:numPr>
              <w:rPr>
                <w:sz w:val="21"/>
                <w:lang w:eastAsia="ja-JP"/>
              </w:rPr>
            </w:pPr>
            <w:r w:rsidRPr="00F3051D">
              <w:rPr>
                <w:sz w:val="21"/>
                <w:lang w:eastAsia="ja-JP"/>
              </w:rPr>
              <w:t>Lecture and Training for users of GISC Tokyo Portal system: GISC Cache on WIS Portal</w:t>
            </w:r>
          </w:p>
          <w:p w:rsidR="00F05886" w:rsidRPr="00F3051D" w:rsidRDefault="00F05886" w:rsidP="00F05886">
            <w:pPr>
              <w:pStyle w:val="ListParagraph"/>
              <w:numPr>
                <w:ilvl w:val="0"/>
                <w:numId w:val="12"/>
              </w:numPr>
              <w:rPr>
                <w:sz w:val="21"/>
                <w:lang w:eastAsia="ja-JP"/>
              </w:rPr>
            </w:pPr>
            <w:r w:rsidRPr="00F3051D">
              <w:rPr>
                <w:sz w:val="21"/>
                <w:lang w:eastAsia="ja-JP"/>
              </w:rPr>
              <w:t>Lecture and Training for users of GISC Tokyo Portal system: Subscription</w:t>
            </w:r>
          </w:p>
          <w:p w:rsidR="00F05886" w:rsidRPr="00F3051D" w:rsidRDefault="00F05886" w:rsidP="00F05886">
            <w:pPr>
              <w:pStyle w:val="ListParagraph"/>
              <w:numPr>
                <w:ilvl w:val="0"/>
                <w:numId w:val="12"/>
              </w:numPr>
              <w:rPr>
                <w:sz w:val="21"/>
                <w:lang w:eastAsia="ja-JP"/>
              </w:rPr>
            </w:pPr>
            <w:r w:rsidRPr="00F3051D">
              <w:rPr>
                <w:sz w:val="21"/>
                <w:lang w:eastAsia="ja-JP"/>
              </w:rPr>
              <w:t>Lecture and Training for users of GISC Tokyo Portal system: Instruction on how to use the ticket system</w:t>
            </w:r>
          </w:p>
          <w:p w:rsidR="00F05886" w:rsidRPr="00F3051D" w:rsidRDefault="00F05886" w:rsidP="00F05886">
            <w:pPr>
              <w:pStyle w:val="ListParagraph"/>
              <w:numPr>
                <w:ilvl w:val="0"/>
                <w:numId w:val="12"/>
              </w:numPr>
              <w:rPr>
                <w:sz w:val="21"/>
                <w:lang w:eastAsia="ja-JP"/>
              </w:rPr>
            </w:pPr>
            <w:r w:rsidRPr="00F3051D">
              <w:rPr>
                <w:sz w:val="21"/>
                <w:lang w:eastAsia="ja-JP"/>
              </w:rPr>
              <w:t>Activities of JMA DCPCs: NWP product service of JMA</w:t>
            </w:r>
          </w:p>
          <w:p w:rsidR="00F05886" w:rsidRPr="00F3051D" w:rsidRDefault="00F05886" w:rsidP="00F05886">
            <w:pPr>
              <w:pStyle w:val="ListParagraph"/>
              <w:numPr>
                <w:ilvl w:val="0"/>
                <w:numId w:val="12"/>
              </w:numPr>
              <w:rPr>
                <w:sz w:val="21"/>
                <w:lang w:eastAsia="ja-JP"/>
              </w:rPr>
            </w:pPr>
            <w:r w:rsidRPr="00F3051D">
              <w:rPr>
                <w:sz w:val="21"/>
                <w:lang w:eastAsia="ja-JP"/>
              </w:rPr>
              <w:t>Activities of JMA DCPCs: Products of RSMC Tokyo - Typhoon Center</w:t>
            </w:r>
          </w:p>
          <w:p w:rsidR="00F05886" w:rsidRPr="00F3051D" w:rsidRDefault="00F05886" w:rsidP="00F05886">
            <w:pPr>
              <w:pStyle w:val="ListParagraph"/>
              <w:numPr>
                <w:ilvl w:val="0"/>
                <w:numId w:val="12"/>
              </w:numPr>
              <w:rPr>
                <w:sz w:val="21"/>
                <w:lang w:eastAsia="ja-JP"/>
              </w:rPr>
            </w:pPr>
            <w:r w:rsidRPr="00F3051D">
              <w:rPr>
                <w:sz w:val="21"/>
                <w:lang w:eastAsia="ja-JP"/>
              </w:rPr>
              <w:t>Activities of JMA DCPCs: RCC Tokyo (Tokyo Climate Center) and GPC Tokyo</w:t>
            </w:r>
          </w:p>
          <w:p w:rsidR="00F05886" w:rsidRPr="00F3051D" w:rsidRDefault="00F05886" w:rsidP="00F05886">
            <w:pPr>
              <w:pStyle w:val="ListParagraph"/>
              <w:numPr>
                <w:ilvl w:val="0"/>
                <w:numId w:val="12"/>
              </w:numPr>
              <w:rPr>
                <w:sz w:val="21"/>
                <w:lang w:eastAsia="ja-JP"/>
              </w:rPr>
            </w:pPr>
            <w:r w:rsidRPr="00F3051D">
              <w:rPr>
                <w:sz w:val="21"/>
                <w:lang w:eastAsia="ja-JP"/>
              </w:rPr>
              <w:t>Activities of JMA DCPCs: WMO World Data Centre for Greenhouse Gases (WDCGG)</w:t>
            </w:r>
          </w:p>
          <w:p w:rsidR="00F05886" w:rsidRPr="00F3051D" w:rsidRDefault="00F05886" w:rsidP="00F05886">
            <w:pPr>
              <w:pStyle w:val="ListParagraph"/>
              <w:numPr>
                <w:ilvl w:val="0"/>
                <w:numId w:val="12"/>
              </w:numPr>
              <w:rPr>
                <w:sz w:val="21"/>
                <w:lang w:eastAsia="ja-JP"/>
              </w:rPr>
            </w:pPr>
            <w:r w:rsidRPr="00F3051D">
              <w:rPr>
                <w:sz w:val="21"/>
                <w:lang w:eastAsia="ja-JP"/>
              </w:rPr>
              <w:t>Activities of JMA DCPCs: Operation of Meteorological Satellite Center as DCPC</w:t>
            </w:r>
          </w:p>
          <w:p w:rsidR="00F05886" w:rsidRPr="00F3051D" w:rsidRDefault="00F05886" w:rsidP="00F05886">
            <w:pPr>
              <w:pStyle w:val="ListParagraph"/>
              <w:numPr>
                <w:ilvl w:val="0"/>
                <w:numId w:val="12"/>
              </w:numPr>
              <w:rPr>
                <w:sz w:val="21"/>
                <w:lang w:eastAsia="ja-JP"/>
              </w:rPr>
            </w:pPr>
            <w:r w:rsidRPr="00F3051D">
              <w:rPr>
                <w:sz w:val="21"/>
                <w:lang w:eastAsia="ja-JP"/>
              </w:rPr>
              <w:t>Organizing the questionnaire</w:t>
            </w:r>
          </w:p>
          <w:p w:rsidR="00F05886" w:rsidRPr="00F3051D" w:rsidRDefault="00F05886" w:rsidP="00F05886">
            <w:pPr>
              <w:pStyle w:val="ListParagraph"/>
              <w:numPr>
                <w:ilvl w:val="0"/>
                <w:numId w:val="12"/>
              </w:numPr>
              <w:rPr>
                <w:sz w:val="21"/>
                <w:lang w:eastAsia="ja-JP"/>
              </w:rPr>
            </w:pPr>
            <w:r w:rsidRPr="00F3051D">
              <w:rPr>
                <w:sz w:val="21"/>
                <w:lang w:eastAsia="ja-JP"/>
              </w:rPr>
              <w:t>Estimating the value/cost-benefit of the GTS/WIS</w:t>
            </w:r>
          </w:p>
          <w:p w:rsidR="00F05886" w:rsidRPr="00F3051D" w:rsidRDefault="00F05886" w:rsidP="00F05886">
            <w:pPr>
              <w:pStyle w:val="ListParagraph"/>
              <w:numPr>
                <w:ilvl w:val="0"/>
                <w:numId w:val="12"/>
              </w:numPr>
              <w:rPr>
                <w:sz w:val="21"/>
                <w:lang w:eastAsia="ja-JP"/>
              </w:rPr>
            </w:pPr>
            <w:r w:rsidRPr="00F3051D">
              <w:rPr>
                <w:sz w:val="21"/>
                <w:lang w:eastAsia="ja-JP"/>
              </w:rPr>
              <w:t>Future Perspectives of WMO Information System</w:t>
            </w:r>
          </w:p>
          <w:p w:rsidR="00F05886" w:rsidRPr="00F05886" w:rsidRDefault="00F05886" w:rsidP="00F05886">
            <w:pPr>
              <w:pStyle w:val="ListParagraph"/>
              <w:numPr>
                <w:ilvl w:val="0"/>
                <w:numId w:val="12"/>
              </w:numPr>
              <w:rPr>
                <w:lang w:eastAsia="ja-JP"/>
              </w:rPr>
            </w:pPr>
            <w:r w:rsidRPr="00F3051D">
              <w:rPr>
                <w:sz w:val="21"/>
                <w:lang w:eastAsia="ja-JP"/>
              </w:rPr>
              <w:t>Wrap-up: WIS Part A, summary</w:t>
            </w:r>
          </w:p>
        </w:tc>
      </w:tr>
    </w:tbl>
    <w:p w:rsidR="00A0202B" w:rsidRDefault="00A0202B" w:rsidP="00D24143">
      <w:pPr>
        <w:rPr>
          <w:lang w:eastAsia="ja-JP"/>
        </w:rPr>
      </w:pPr>
    </w:p>
    <w:p w:rsidR="0069483C" w:rsidRDefault="0069483C" w:rsidP="0069483C">
      <w:pPr>
        <w:pStyle w:val="Heading2"/>
        <w:rPr>
          <w:lang w:eastAsia="ja-JP"/>
        </w:rPr>
      </w:pPr>
      <w:r>
        <w:rPr>
          <w:rFonts w:hint="eastAsia"/>
          <w:lang w:eastAsia="ja-JP"/>
        </w:rPr>
        <w:t>WIS Workshop (Qatar)</w:t>
      </w:r>
    </w:p>
    <w:p w:rsidR="0069483C" w:rsidRDefault="0069483C" w:rsidP="003D7654">
      <w:pPr>
        <w:rPr>
          <w:lang w:eastAsia="ja-JP"/>
        </w:rPr>
      </w:pPr>
      <w:r>
        <w:rPr>
          <w:rFonts w:hint="eastAsia"/>
          <w:lang w:eastAsia="ja-JP"/>
        </w:rPr>
        <w:t xml:space="preserve">This workshop </w:t>
      </w:r>
      <w:r>
        <w:rPr>
          <w:lang w:eastAsia="ja-JP"/>
        </w:rPr>
        <w:t>was held from 26-30 Jan 2013 in Doha/Qatar</w:t>
      </w:r>
      <w:r>
        <w:rPr>
          <w:rFonts w:hint="eastAsia"/>
          <w:lang w:eastAsia="ja-JP"/>
        </w:rPr>
        <w:t xml:space="preserve">. </w:t>
      </w:r>
      <w:r>
        <w:rPr>
          <w:lang w:eastAsia="ja-JP"/>
        </w:rPr>
        <w:t>The workshop</w:t>
      </w:r>
      <w:r>
        <w:rPr>
          <w:rFonts w:hint="eastAsia"/>
          <w:lang w:eastAsia="ja-JP"/>
        </w:rPr>
        <w:t xml:space="preserve"> was </w:t>
      </w:r>
      <w:r>
        <w:rPr>
          <w:lang w:eastAsia="ja-JP"/>
        </w:rPr>
        <w:t>organized by Qatar Meteorological Department and the WMO Secretariat</w:t>
      </w:r>
      <w:r>
        <w:rPr>
          <w:rFonts w:hint="eastAsia"/>
          <w:lang w:eastAsia="ja-JP"/>
        </w:rPr>
        <w:t xml:space="preserve">. </w:t>
      </w:r>
      <w:r>
        <w:rPr>
          <w:lang w:eastAsia="ja-JP"/>
        </w:rPr>
        <w:t>I</w:t>
      </w:r>
      <w:r>
        <w:rPr>
          <w:rFonts w:hint="eastAsia"/>
          <w:lang w:eastAsia="ja-JP"/>
        </w:rPr>
        <w:t xml:space="preserve">t </w:t>
      </w:r>
      <w:r>
        <w:rPr>
          <w:lang w:eastAsia="ja-JP"/>
        </w:rPr>
        <w:t>focused on WIS National Centre and Data Collection and/or Production Centre implementation and the understanding and migration to WMO Table Driven Code Forms. It also discussed an implementation plan for a regional Marine Centre.</w:t>
      </w:r>
      <w:r>
        <w:rPr>
          <w:rFonts w:hint="eastAsia"/>
          <w:lang w:eastAsia="ja-JP"/>
        </w:rPr>
        <w:t xml:space="preserve"> GISC Tokyo was invited by QMD and</w:t>
      </w:r>
      <w:r w:rsidR="00CB1065">
        <w:rPr>
          <w:rFonts w:hint="eastAsia"/>
          <w:lang w:eastAsia="ja-JP"/>
        </w:rPr>
        <w:t xml:space="preserve"> </w:t>
      </w:r>
      <w:r>
        <w:rPr>
          <w:rFonts w:hint="eastAsia"/>
          <w:lang w:eastAsia="ja-JP"/>
        </w:rPr>
        <w:t xml:space="preserve">2 experts joined as </w:t>
      </w:r>
      <w:r>
        <w:rPr>
          <w:lang w:eastAsia="ja-JP"/>
        </w:rPr>
        <w:t>instructor</w:t>
      </w:r>
      <w:r>
        <w:rPr>
          <w:rFonts w:hint="eastAsia"/>
          <w:lang w:eastAsia="ja-JP"/>
        </w:rPr>
        <w:t xml:space="preserve">. </w:t>
      </w:r>
      <w:r w:rsidR="00DE51D9">
        <w:rPr>
          <w:rFonts w:hint="eastAsia"/>
          <w:lang w:eastAsia="ja-JP"/>
        </w:rPr>
        <w:t>GISC Tokyo</w:t>
      </w:r>
      <w:r>
        <w:rPr>
          <w:rFonts w:hint="eastAsia"/>
          <w:lang w:eastAsia="ja-JP"/>
        </w:rPr>
        <w:t xml:space="preserve"> presented GISC and DCPCs in Japan </w:t>
      </w:r>
      <w:r>
        <w:rPr>
          <w:lang w:eastAsia="ja-JP"/>
        </w:rPr>
        <w:t>especially</w:t>
      </w:r>
      <w:r>
        <w:rPr>
          <w:rFonts w:hint="eastAsia"/>
          <w:lang w:eastAsia="ja-JP"/>
        </w:rPr>
        <w:t xml:space="preserve"> Typhoon Center </w:t>
      </w:r>
      <w:r>
        <w:rPr>
          <w:lang w:eastAsia="ja-JP"/>
        </w:rPr>
        <w:t>and</w:t>
      </w:r>
      <w:r>
        <w:rPr>
          <w:rFonts w:hint="eastAsia"/>
          <w:lang w:eastAsia="ja-JP"/>
        </w:rPr>
        <w:t xml:space="preserve"> its operation, Metadata services of GISC Tokyo including Metadata creation tools and TDCF and its migration. Practical training with metadata creation tool was </w:t>
      </w:r>
      <w:r>
        <w:rPr>
          <w:lang w:eastAsia="ja-JP"/>
        </w:rPr>
        <w:t>popular</w:t>
      </w:r>
      <w:r>
        <w:rPr>
          <w:rFonts w:hint="eastAsia"/>
          <w:lang w:eastAsia="ja-JP"/>
        </w:rPr>
        <w:t xml:space="preserve"> with participants.</w:t>
      </w:r>
    </w:p>
    <w:p w:rsidR="003D7654" w:rsidRDefault="003D7654" w:rsidP="003D7654">
      <w:pPr>
        <w:pStyle w:val="Heading2"/>
        <w:rPr>
          <w:lang w:eastAsia="ja-JP"/>
        </w:rPr>
      </w:pPr>
      <w:r>
        <w:rPr>
          <w:lang w:eastAsia="ja-JP"/>
        </w:rPr>
        <w:t>RA-V WIS/T</w:t>
      </w:r>
      <w:r w:rsidR="004B2C28">
        <w:rPr>
          <w:lang w:eastAsia="ja-JP"/>
        </w:rPr>
        <w:t xml:space="preserve">DCF Training Workshop </w:t>
      </w:r>
      <w:r w:rsidR="004B2C28">
        <w:rPr>
          <w:rFonts w:hint="eastAsia"/>
          <w:lang w:eastAsia="ja-JP"/>
        </w:rPr>
        <w:t>(</w:t>
      </w:r>
      <w:r>
        <w:rPr>
          <w:lang w:eastAsia="ja-JP"/>
        </w:rPr>
        <w:t>Australia</w:t>
      </w:r>
      <w:r w:rsidR="004B2C28">
        <w:rPr>
          <w:rFonts w:hint="eastAsia"/>
          <w:lang w:eastAsia="ja-JP"/>
        </w:rPr>
        <w:t>)</w:t>
      </w:r>
    </w:p>
    <w:p w:rsidR="001319A0" w:rsidRDefault="003D7654">
      <w:pPr>
        <w:rPr>
          <w:lang w:eastAsia="ja-JP"/>
        </w:rPr>
      </w:pPr>
      <w:r>
        <w:rPr>
          <w:lang w:eastAsia="ja-JP"/>
        </w:rPr>
        <w:t xml:space="preserve">The WMO and the Australian Bureau of Meteorology held a 5-day training workshop for WMO Members in the South-West Pacific on the implementation of WIS and the migration to TDCF, from 29 April to 3 </w:t>
      </w:r>
      <w:r>
        <w:rPr>
          <w:lang w:eastAsia="ja-JP"/>
        </w:rPr>
        <w:lastRenderedPageBreak/>
        <w:t xml:space="preserve">May 2013.  </w:t>
      </w:r>
      <w:proofErr w:type="spellStart"/>
      <w:r>
        <w:rPr>
          <w:lang w:eastAsia="ja-JP"/>
        </w:rPr>
        <w:t>Eiji</w:t>
      </w:r>
      <w:proofErr w:type="spellEnd"/>
      <w:r>
        <w:rPr>
          <w:lang w:eastAsia="ja-JP"/>
        </w:rPr>
        <w:t xml:space="preserve"> Toyoda of JMA, as the Chair of the CBS Task Team on the Application of Metadata (TT-</w:t>
      </w:r>
      <w:proofErr w:type="spellStart"/>
      <w:r>
        <w:rPr>
          <w:lang w:eastAsia="ja-JP"/>
        </w:rPr>
        <w:t>ApMD</w:t>
      </w:r>
      <w:proofErr w:type="spellEnd"/>
      <w:r>
        <w:rPr>
          <w:lang w:eastAsia="ja-JP"/>
        </w:rPr>
        <w:t xml:space="preserve">), </w:t>
      </w:r>
      <w:proofErr w:type="gramStart"/>
      <w:r>
        <w:rPr>
          <w:lang w:eastAsia="ja-JP"/>
        </w:rPr>
        <w:t>participated</w:t>
      </w:r>
      <w:proofErr w:type="gramEnd"/>
      <w:r>
        <w:rPr>
          <w:lang w:eastAsia="ja-JP"/>
        </w:rPr>
        <w:t xml:space="preserve"> this workshop as an invited speaker on the subjects of WIS metadata.</w:t>
      </w:r>
    </w:p>
    <w:p w:rsidR="003D7654" w:rsidRDefault="003D7654">
      <w:pPr>
        <w:rPr>
          <w:lang w:eastAsia="ja-JP"/>
        </w:rPr>
      </w:pPr>
    </w:p>
    <w:p w:rsidR="006457C8" w:rsidRDefault="006457C8" w:rsidP="006457C8">
      <w:pPr>
        <w:pStyle w:val="Heading2"/>
        <w:rPr>
          <w:lang w:eastAsia="ja-JP"/>
        </w:rPr>
      </w:pPr>
      <w:r>
        <w:rPr>
          <w:rFonts w:hint="eastAsia"/>
          <w:lang w:eastAsia="ja-JP"/>
        </w:rPr>
        <w:t>R</w:t>
      </w:r>
      <w:r>
        <w:rPr>
          <w:lang w:eastAsia="ja-JP"/>
        </w:rPr>
        <w:t>eference</w:t>
      </w:r>
    </w:p>
    <w:p w:rsidR="0069483C" w:rsidRDefault="006457C8" w:rsidP="00BE2C11">
      <w:pPr>
        <w:pStyle w:val="Heading3"/>
        <w:rPr>
          <w:lang w:eastAsia="ja-JP"/>
        </w:rPr>
      </w:pPr>
      <w:r w:rsidRPr="006457C8">
        <w:rPr>
          <w:lang w:eastAsia="ja-JP"/>
        </w:rPr>
        <w:t>JMA workshop on WIS Implementation</w:t>
      </w:r>
    </w:p>
    <w:p w:rsidR="006457C8" w:rsidRDefault="00FB78D1" w:rsidP="007073CC">
      <w:pPr>
        <w:rPr>
          <w:lang w:eastAsia="ja-JP"/>
        </w:rPr>
      </w:pPr>
      <w:r>
        <w:rPr>
          <w:rFonts w:hint="eastAsia"/>
          <w:lang w:eastAsia="ja-JP"/>
        </w:rPr>
        <w:t>GISC Tokyo</w:t>
      </w:r>
      <w:r w:rsidR="00BE2C11">
        <w:rPr>
          <w:lang w:eastAsia="ja-JP"/>
        </w:rPr>
        <w:br/>
      </w:r>
      <w:r w:rsidR="006457C8" w:rsidRPr="006457C8">
        <w:rPr>
          <w:lang w:eastAsia="ja-JP"/>
        </w:rPr>
        <w:t>http://www.wis-jma.go.jp/cms/blog/2012/12/28/jma-workshop-on-wmo-information-system-implementation/</w:t>
      </w:r>
    </w:p>
    <w:p w:rsidR="006457C8" w:rsidRDefault="006457C8" w:rsidP="007073CC">
      <w:pPr>
        <w:rPr>
          <w:lang w:eastAsia="ja-JP"/>
        </w:rPr>
      </w:pPr>
    </w:p>
    <w:p w:rsidR="006457C8" w:rsidRDefault="006457C8" w:rsidP="00BE2C11">
      <w:pPr>
        <w:pStyle w:val="Heading3"/>
        <w:rPr>
          <w:lang w:eastAsia="ja-JP"/>
        </w:rPr>
      </w:pPr>
      <w:r w:rsidRPr="006457C8">
        <w:rPr>
          <w:lang w:eastAsia="ja-JP"/>
        </w:rPr>
        <w:t>WIS Workshop (Qatar)</w:t>
      </w:r>
    </w:p>
    <w:p w:rsidR="00FB78D1" w:rsidRDefault="00FB78D1" w:rsidP="007073CC">
      <w:pPr>
        <w:rPr>
          <w:lang w:eastAsia="ja-JP"/>
        </w:rPr>
      </w:pPr>
      <w:r>
        <w:rPr>
          <w:lang w:eastAsia="ja-JP"/>
        </w:rPr>
        <w:t>QMD</w:t>
      </w:r>
      <w:r w:rsidR="00BE2C11">
        <w:rPr>
          <w:rFonts w:hint="eastAsia"/>
          <w:lang w:eastAsia="ja-JP"/>
        </w:rPr>
        <w:br/>
      </w:r>
      <w:r>
        <w:rPr>
          <w:lang w:eastAsia="ja-JP"/>
        </w:rPr>
        <w:t>http://www.qweather.net/site/index.php?option=com_content&amp;view=article&amp;id=82%3Awis-workshop-in-doha&amp;catid=4%3Afront-page-news&amp;Itemid=43&amp;lang=en</w:t>
      </w:r>
    </w:p>
    <w:p w:rsidR="00F8649F" w:rsidRDefault="00FB78D1" w:rsidP="007073CC">
      <w:pPr>
        <w:rPr>
          <w:lang w:eastAsia="ja-JP"/>
        </w:rPr>
      </w:pPr>
      <w:r>
        <w:rPr>
          <w:lang w:eastAsia="ja-JP"/>
        </w:rPr>
        <w:t>WMO</w:t>
      </w:r>
      <w:r w:rsidR="00BE2C11">
        <w:rPr>
          <w:rFonts w:hint="eastAsia"/>
          <w:lang w:eastAsia="ja-JP"/>
        </w:rPr>
        <w:br/>
      </w:r>
      <w:r>
        <w:rPr>
          <w:lang w:eastAsia="ja-JP"/>
        </w:rPr>
        <w:t>http://www.wmo.int/pages/prog/www/WIS/wiswiki/tiki-view_blog_post.php?postId=73</w:t>
      </w:r>
    </w:p>
    <w:p w:rsidR="007A705F" w:rsidRPr="007A705F" w:rsidRDefault="007A705F" w:rsidP="007073CC">
      <w:pPr>
        <w:rPr>
          <w:lang w:eastAsia="ja-JP"/>
        </w:rPr>
      </w:pPr>
    </w:p>
    <w:p w:rsidR="007A705F" w:rsidRDefault="007A705F" w:rsidP="00BE2C11">
      <w:pPr>
        <w:pStyle w:val="Heading3"/>
        <w:rPr>
          <w:lang w:eastAsia="ja-JP"/>
        </w:rPr>
      </w:pPr>
      <w:r w:rsidRPr="007A705F">
        <w:rPr>
          <w:lang w:eastAsia="ja-JP"/>
        </w:rPr>
        <w:t xml:space="preserve">RA-V Workshop on the Implementation of WIS and TDCF </w:t>
      </w:r>
      <w:r>
        <w:rPr>
          <w:rFonts w:hint="eastAsia"/>
          <w:lang w:eastAsia="ja-JP"/>
        </w:rPr>
        <w:t>(</w:t>
      </w:r>
      <w:r w:rsidRPr="007A705F">
        <w:rPr>
          <w:lang w:eastAsia="ja-JP"/>
        </w:rPr>
        <w:t>Australia</w:t>
      </w:r>
      <w:r>
        <w:rPr>
          <w:rFonts w:hint="eastAsia"/>
          <w:lang w:eastAsia="ja-JP"/>
        </w:rPr>
        <w:t>)</w:t>
      </w:r>
    </w:p>
    <w:p w:rsidR="007A705F" w:rsidRPr="007A705F" w:rsidRDefault="007A705F" w:rsidP="007073CC">
      <w:pPr>
        <w:rPr>
          <w:lang w:eastAsia="ja-JP"/>
        </w:rPr>
      </w:pPr>
      <w:proofErr w:type="gramStart"/>
      <w:r>
        <w:rPr>
          <w:rFonts w:hint="eastAsia"/>
          <w:lang w:eastAsia="ja-JP"/>
        </w:rPr>
        <w:t>WMO</w:t>
      </w:r>
      <w:r w:rsidR="00BE2C11">
        <w:rPr>
          <w:lang w:eastAsia="ja-JP"/>
        </w:rPr>
        <w:br/>
      </w:r>
      <w:r>
        <w:rPr>
          <w:lang w:eastAsia="ja-JP"/>
        </w:rPr>
        <w:t>http://www.wmo.int/pages/prog/www/WIS/wiswiki/tiki-view_blog_post.php?postId=77.</w:t>
      </w:r>
      <w:proofErr w:type="gramEnd"/>
    </w:p>
    <w:sectPr w:rsidR="007A705F" w:rsidRPr="007A705F"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B5" w:rsidRDefault="007B4BB5" w:rsidP="00BA350D">
      <w:pPr>
        <w:spacing w:after="0" w:line="240" w:lineRule="auto"/>
      </w:pPr>
      <w:r>
        <w:separator/>
      </w:r>
    </w:p>
  </w:endnote>
  <w:endnote w:type="continuationSeparator" w:id="0">
    <w:p w:rsidR="007B4BB5" w:rsidRDefault="007B4BB5"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B5" w:rsidRDefault="007B4BB5" w:rsidP="00BA350D">
      <w:pPr>
        <w:spacing w:after="0" w:line="240" w:lineRule="auto"/>
      </w:pPr>
      <w:r>
        <w:separator/>
      </w:r>
    </w:p>
  </w:footnote>
  <w:footnote w:type="continuationSeparator" w:id="0">
    <w:p w:rsidR="007B4BB5" w:rsidRDefault="007B4BB5"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F1" w:rsidRDefault="007533F1">
    <w:pPr>
      <w:pStyle w:val="Header"/>
      <w:jc w:val="center"/>
    </w:pPr>
    <w:r>
      <w:t xml:space="preserve">Document No. </w:t>
    </w:r>
    <w:r w:rsidR="00054505">
      <w:t xml:space="preserve">24 </w:t>
    </w:r>
    <w:r>
      <w:t xml:space="preserve">(Page </w:t>
    </w:r>
    <w:sdt>
      <w:sdtPr>
        <w:id w:val="-901051862"/>
        <w:docPartObj>
          <w:docPartGallery w:val="Page Numbers (Top of Page)"/>
          <w:docPartUnique/>
        </w:docPartObj>
      </w:sdtPr>
      <w:sdtEndPr>
        <w:rPr>
          <w:noProof/>
        </w:rPr>
      </w:sdtEndPr>
      <w:sdtContent>
        <w:r w:rsidR="007B4BB5">
          <w:fldChar w:fldCharType="begin"/>
        </w:r>
        <w:r w:rsidR="007B4BB5">
          <w:instrText xml:space="preserve"> PAGE   \* MERGEFORMAT </w:instrText>
        </w:r>
        <w:r w:rsidR="007B4BB5">
          <w:fldChar w:fldCharType="separate"/>
        </w:r>
        <w:r w:rsidR="00CC681B">
          <w:rPr>
            <w:noProof/>
          </w:rPr>
          <w:t>4</w:t>
        </w:r>
        <w:r w:rsidR="007B4BB5">
          <w:rPr>
            <w:noProof/>
          </w:rPr>
          <w:fldChar w:fldCharType="end"/>
        </w:r>
        <w:r>
          <w:rPr>
            <w:noProof/>
          </w:rPr>
          <w:t>)</w:t>
        </w:r>
      </w:sdtContent>
    </w:sdt>
  </w:p>
  <w:p w:rsidR="007533F1" w:rsidRDefault="00753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7533F1" w:rsidRPr="00812884" w:rsidTr="00BA350D">
      <w:trPr>
        <w:cantSplit/>
        <w:trHeight w:val="1438"/>
      </w:trPr>
      <w:tc>
        <w:tcPr>
          <w:tcW w:w="4548" w:type="dxa"/>
          <w:vAlign w:val="center"/>
        </w:tcPr>
        <w:p w:rsidR="007533F1" w:rsidRPr="00683FE2" w:rsidRDefault="007533F1"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7533F1" w:rsidRPr="00812884" w:rsidRDefault="007533F1" w:rsidP="00AF5EF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4615156" r:id="rId2"/>
            </w:object>
          </w:r>
        </w:p>
      </w:tc>
    </w:tr>
    <w:tr w:rsidR="007533F1" w:rsidRPr="00812884" w:rsidTr="00BA350D">
      <w:trPr>
        <w:cantSplit/>
      </w:trPr>
      <w:tc>
        <w:tcPr>
          <w:tcW w:w="6228" w:type="dxa"/>
          <w:gridSpan w:val="2"/>
          <w:tcBorders>
            <w:top w:val="single" w:sz="12" w:space="0" w:color="auto"/>
          </w:tcBorders>
        </w:tcPr>
        <w:p w:rsidR="007533F1" w:rsidRPr="00812884" w:rsidRDefault="007533F1" w:rsidP="00AF5EF9">
          <w:pPr>
            <w:shd w:val="solid" w:color="FFFFFF" w:fill="FFFFFF"/>
            <w:spacing w:after="48"/>
            <w:rPr>
              <w:rFonts w:ascii="Verdana" w:hAnsi="Verdana" w:cs="Verdana"/>
            </w:rPr>
          </w:pPr>
        </w:p>
      </w:tc>
      <w:tc>
        <w:tcPr>
          <w:tcW w:w="3851" w:type="dxa"/>
          <w:tcBorders>
            <w:top w:val="single" w:sz="12" w:space="0" w:color="auto"/>
          </w:tcBorders>
        </w:tcPr>
        <w:p w:rsidR="007533F1" w:rsidRPr="00812884" w:rsidRDefault="007533F1" w:rsidP="00AF5EF9">
          <w:pPr>
            <w:shd w:val="solid" w:color="FFFFFF" w:fill="FFFFFF"/>
            <w:spacing w:after="48" w:line="240" w:lineRule="atLeast"/>
          </w:pPr>
        </w:p>
      </w:tc>
    </w:tr>
    <w:tr w:rsidR="007533F1" w:rsidRPr="007A7EA5" w:rsidTr="00BA350D">
      <w:trPr>
        <w:cantSplit/>
        <w:trHeight w:val="312"/>
      </w:trPr>
      <w:tc>
        <w:tcPr>
          <w:tcW w:w="6228" w:type="dxa"/>
          <w:gridSpan w:val="2"/>
          <w:vMerge w:val="restart"/>
        </w:tcPr>
        <w:p w:rsidR="007533F1" w:rsidRDefault="007533F1"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7533F1" w:rsidRPr="00BA350D" w:rsidRDefault="007533F1" w:rsidP="00054505">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Pr="0018783B">
            <w:rPr>
              <w:rFonts w:ascii="Times New Roman" w:hAnsi="Times New Roman" w:cs="Times New Roman"/>
              <w:sz w:val="28"/>
              <w:szCs w:val="20"/>
            </w:rPr>
            <w:t>Kenji KOSUGE</w:t>
          </w:r>
          <w:r w:rsidR="00054505">
            <w:rPr>
              <w:rFonts w:ascii="Times New Roman" w:hAnsi="Times New Roman" w:cs="Times New Roman"/>
              <w:sz w:val="28"/>
              <w:szCs w:val="20"/>
              <w:lang w:eastAsia="ja-JP"/>
            </w:rPr>
            <w:t xml:space="preserve"> (</w:t>
          </w:r>
          <w:r>
            <w:rPr>
              <w:rFonts w:ascii="Times New Roman" w:hAnsi="Times New Roman" w:cs="Times New Roman" w:hint="eastAsia"/>
              <w:sz w:val="28"/>
              <w:szCs w:val="20"/>
              <w:lang w:eastAsia="ja-JP"/>
            </w:rPr>
            <w:t>JMA</w:t>
          </w:r>
          <w:r w:rsidR="00054505">
            <w:rPr>
              <w:rFonts w:ascii="Times New Roman" w:hAnsi="Times New Roman" w:cs="Times New Roman"/>
              <w:sz w:val="28"/>
              <w:szCs w:val="20"/>
            </w:rPr>
            <w:t>)</w:t>
          </w:r>
        </w:p>
      </w:tc>
      <w:tc>
        <w:tcPr>
          <w:tcW w:w="3851" w:type="dxa"/>
        </w:tcPr>
        <w:p w:rsidR="007533F1" w:rsidRPr="0013270C" w:rsidRDefault="007533F1" w:rsidP="00054505">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054505">
            <w:rPr>
              <w:rFonts w:ascii="Times New Roman" w:hAnsi="Times New Roman" w:cs="Times New Roman"/>
              <w:b/>
              <w:bCs/>
              <w:sz w:val="28"/>
              <w:szCs w:val="20"/>
              <w:lang w:eastAsia="zh-CN"/>
            </w:rPr>
            <w:t xml:space="preserve"> 24</w:t>
          </w:r>
          <w:r w:rsidR="00054505">
            <w:rPr>
              <w:rFonts w:ascii="Times New Roman" w:hAnsi="Times New Roman" w:cs="Times New Roman"/>
              <w:b/>
              <w:bCs/>
              <w:sz w:val="28"/>
              <w:szCs w:val="20"/>
              <w:lang w:eastAsia="zh-CN"/>
            </w:rPr>
            <w:br/>
            <w:t xml:space="preserve">Agenda Item </w:t>
          </w:r>
          <w:r>
            <w:rPr>
              <w:rFonts w:ascii="Times New Roman" w:hAnsi="Times New Roman" w:cs="Times New Roman" w:hint="eastAsia"/>
              <w:b/>
              <w:bCs/>
              <w:sz w:val="28"/>
              <w:szCs w:val="20"/>
              <w:lang w:eastAsia="ja-JP"/>
            </w:rPr>
            <w:t>7.3</w:t>
          </w:r>
        </w:p>
      </w:tc>
    </w:tr>
    <w:tr w:rsidR="007533F1" w:rsidRPr="00812884" w:rsidTr="00BA350D">
      <w:trPr>
        <w:cantSplit/>
        <w:trHeight w:val="81"/>
      </w:trPr>
      <w:tc>
        <w:tcPr>
          <w:tcW w:w="6228" w:type="dxa"/>
          <w:gridSpan w:val="2"/>
          <w:vMerge/>
        </w:tcPr>
        <w:p w:rsidR="007533F1" w:rsidRPr="0044117D" w:rsidRDefault="007533F1" w:rsidP="00AF5EF9">
          <w:pPr>
            <w:shd w:val="solid" w:color="FFFFFF" w:fill="FFFFFF"/>
            <w:spacing w:after="240"/>
            <w:ind w:left="1134" w:hanging="1134"/>
            <w:rPr>
              <w:rFonts w:ascii="Verdana" w:hAnsi="Verdana" w:cs="Verdana"/>
              <w:sz w:val="20"/>
              <w:szCs w:val="20"/>
            </w:rPr>
          </w:pPr>
        </w:p>
      </w:tc>
      <w:tc>
        <w:tcPr>
          <w:tcW w:w="3851" w:type="dxa"/>
        </w:tcPr>
        <w:p w:rsidR="007533F1" w:rsidRPr="0013270C" w:rsidRDefault="00054505"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5 July</w:t>
          </w:r>
          <w:r w:rsidR="007533F1" w:rsidRPr="0013270C">
            <w:rPr>
              <w:rFonts w:ascii="Times New Roman" w:hAnsi="Times New Roman" w:cs="Times New Roman"/>
              <w:b/>
              <w:bCs/>
              <w:sz w:val="28"/>
              <w:szCs w:val="20"/>
              <w:lang w:eastAsia="zh-CN"/>
            </w:rPr>
            <w:t xml:space="preserve"> 2013</w:t>
          </w:r>
        </w:p>
      </w:tc>
    </w:tr>
  </w:tbl>
  <w:p w:rsidR="007533F1" w:rsidRDefault="00753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F49"/>
    <w:multiLevelType w:val="hybridMultilevel"/>
    <w:tmpl w:val="E7E83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656D2"/>
    <w:multiLevelType w:val="hybridMultilevel"/>
    <w:tmpl w:val="0FF81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904C2B"/>
    <w:multiLevelType w:val="hybridMultilevel"/>
    <w:tmpl w:val="7570C5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392550"/>
    <w:multiLevelType w:val="hybridMultilevel"/>
    <w:tmpl w:val="44FE23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040CF"/>
    <w:multiLevelType w:val="hybridMultilevel"/>
    <w:tmpl w:val="0678A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5270E2"/>
    <w:multiLevelType w:val="hybridMultilevel"/>
    <w:tmpl w:val="B0DED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C615F5"/>
    <w:multiLevelType w:val="hybridMultilevel"/>
    <w:tmpl w:val="03CE31C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B45B7B"/>
    <w:multiLevelType w:val="hybridMultilevel"/>
    <w:tmpl w:val="A636D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500A64"/>
    <w:multiLevelType w:val="hybridMultilevel"/>
    <w:tmpl w:val="B57A7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5"/>
  </w:num>
  <w:num w:numId="5">
    <w:abstractNumId w:val="1"/>
  </w:num>
  <w:num w:numId="6">
    <w:abstractNumId w:val="9"/>
  </w:num>
  <w:num w:numId="7">
    <w:abstractNumId w:val="8"/>
  </w:num>
  <w:num w:numId="8">
    <w:abstractNumId w:val="7"/>
  </w:num>
  <w:num w:numId="9">
    <w:abstractNumId w:val="2"/>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54505"/>
    <w:rsid w:val="000673EC"/>
    <w:rsid w:val="00074353"/>
    <w:rsid w:val="0009566C"/>
    <w:rsid w:val="00096457"/>
    <w:rsid w:val="000B3157"/>
    <w:rsid w:val="000B5C0F"/>
    <w:rsid w:val="000B723C"/>
    <w:rsid w:val="000B7990"/>
    <w:rsid w:val="000C00F9"/>
    <w:rsid w:val="000C03C7"/>
    <w:rsid w:val="000C5202"/>
    <w:rsid w:val="000C5D0D"/>
    <w:rsid w:val="000D15D4"/>
    <w:rsid w:val="000D466A"/>
    <w:rsid w:val="000E5001"/>
    <w:rsid w:val="000F2815"/>
    <w:rsid w:val="000F298F"/>
    <w:rsid w:val="0011216C"/>
    <w:rsid w:val="00124B88"/>
    <w:rsid w:val="001319A0"/>
    <w:rsid w:val="0013270C"/>
    <w:rsid w:val="00144386"/>
    <w:rsid w:val="001477C5"/>
    <w:rsid w:val="00154A0A"/>
    <w:rsid w:val="001552CF"/>
    <w:rsid w:val="001563FB"/>
    <w:rsid w:val="001620C0"/>
    <w:rsid w:val="00173241"/>
    <w:rsid w:val="00180EE5"/>
    <w:rsid w:val="0018783B"/>
    <w:rsid w:val="001A6993"/>
    <w:rsid w:val="001A7EB8"/>
    <w:rsid w:val="001B1EAE"/>
    <w:rsid w:val="001B74D9"/>
    <w:rsid w:val="001B7BFC"/>
    <w:rsid w:val="001C2762"/>
    <w:rsid w:val="001C7735"/>
    <w:rsid w:val="001D2EAC"/>
    <w:rsid w:val="001F0323"/>
    <w:rsid w:val="001F75AD"/>
    <w:rsid w:val="002014FF"/>
    <w:rsid w:val="00203E64"/>
    <w:rsid w:val="00225D5F"/>
    <w:rsid w:val="002262E8"/>
    <w:rsid w:val="00242761"/>
    <w:rsid w:val="002609A5"/>
    <w:rsid w:val="002636DB"/>
    <w:rsid w:val="00286940"/>
    <w:rsid w:val="0029316B"/>
    <w:rsid w:val="0029454D"/>
    <w:rsid w:val="002A3697"/>
    <w:rsid w:val="002A43AC"/>
    <w:rsid w:val="002B1570"/>
    <w:rsid w:val="002C7178"/>
    <w:rsid w:val="002E5434"/>
    <w:rsid w:val="00302A95"/>
    <w:rsid w:val="00302BF4"/>
    <w:rsid w:val="003033F3"/>
    <w:rsid w:val="0030772E"/>
    <w:rsid w:val="00307BD6"/>
    <w:rsid w:val="00316B33"/>
    <w:rsid w:val="00334E63"/>
    <w:rsid w:val="00336304"/>
    <w:rsid w:val="00344A53"/>
    <w:rsid w:val="00347D6B"/>
    <w:rsid w:val="00354FDB"/>
    <w:rsid w:val="003561FD"/>
    <w:rsid w:val="00356FD9"/>
    <w:rsid w:val="003610E0"/>
    <w:rsid w:val="003627C7"/>
    <w:rsid w:val="00365155"/>
    <w:rsid w:val="00366186"/>
    <w:rsid w:val="00370024"/>
    <w:rsid w:val="00371CFD"/>
    <w:rsid w:val="00375ECB"/>
    <w:rsid w:val="0037788B"/>
    <w:rsid w:val="0038031E"/>
    <w:rsid w:val="00382768"/>
    <w:rsid w:val="00393854"/>
    <w:rsid w:val="00395FD2"/>
    <w:rsid w:val="00396F2A"/>
    <w:rsid w:val="00397340"/>
    <w:rsid w:val="003A75F0"/>
    <w:rsid w:val="003C713A"/>
    <w:rsid w:val="003D7654"/>
    <w:rsid w:val="003E141A"/>
    <w:rsid w:val="003E5974"/>
    <w:rsid w:val="00410CBF"/>
    <w:rsid w:val="004177D8"/>
    <w:rsid w:val="0044006B"/>
    <w:rsid w:val="00443974"/>
    <w:rsid w:val="00450AF8"/>
    <w:rsid w:val="004522C5"/>
    <w:rsid w:val="004714BE"/>
    <w:rsid w:val="0047198F"/>
    <w:rsid w:val="00473349"/>
    <w:rsid w:val="00496040"/>
    <w:rsid w:val="004B2C28"/>
    <w:rsid w:val="004B6421"/>
    <w:rsid w:val="004C6AA7"/>
    <w:rsid w:val="004C7C64"/>
    <w:rsid w:val="004D1122"/>
    <w:rsid w:val="004D1842"/>
    <w:rsid w:val="004D39FB"/>
    <w:rsid w:val="004E1DAF"/>
    <w:rsid w:val="004E251E"/>
    <w:rsid w:val="004E6D28"/>
    <w:rsid w:val="004F4AB7"/>
    <w:rsid w:val="004F4C43"/>
    <w:rsid w:val="005050A6"/>
    <w:rsid w:val="00511FE7"/>
    <w:rsid w:val="00531ECC"/>
    <w:rsid w:val="005364F3"/>
    <w:rsid w:val="00536819"/>
    <w:rsid w:val="00540457"/>
    <w:rsid w:val="00566D01"/>
    <w:rsid w:val="00566FA3"/>
    <w:rsid w:val="00567BD1"/>
    <w:rsid w:val="005702CD"/>
    <w:rsid w:val="005838A4"/>
    <w:rsid w:val="00587031"/>
    <w:rsid w:val="00590631"/>
    <w:rsid w:val="005914EC"/>
    <w:rsid w:val="005A0723"/>
    <w:rsid w:val="00623703"/>
    <w:rsid w:val="00623FEC"/>
    <w:rsid w:val="006335EF"/>
    <w:rsid w:val="006457C8"/>
    <w:rsid w:val="0064643E"/>
    <w:rsid w:val="00663CBA"/>
    <w:rsid w:val="00664C12"/>
    <w:rsid w:val="0067003E"/>
    <w:rsid w:val="00671D92"/>
    <w:rsid w:val="00686347"/>
    <w:rsid w:val="006864C5"/>
    <w:rsid w:val="00693A11"/>
    <w:rsid w:val="00693C63"/>
    <w:rsid w:val="0069483C"/>
    <w:rsid w:val="006A16FA"/>
    <w:rsid w:val="006A4FE6"/>
    <w:rsid w:val="006B1C69"/>
    <w:rsid w:val="006C31D9"/>
    <w:rsid w:val="007073CC"/>
    <w:rsid w:val="00710A1A"/>
    <w:rsid w:val="00711EBB"/>
    <w:rsid w:val="00715404"/>
    <w:rsid w:val="00733502"/>
    <w:rsid w:val="0074215D"/>
    <w:rsid w:val="00747CEC"/>
    <w:rsid w:val="007533F1"/>
    <w:rsid w:val="00756A5D"/>
    <w:rsid w:val="00756CE0"/>
    <w:rsid w:val="00765D2D"/>
    <w:rsid w:val="00773BF6"/>
    <w:rsid w:val="00785D74"/>
    <w:rsid w:val="007956B4"/>
    <w:rsid w:val="00797B1D"/>
    <w:rsid w:val="007A1662"/>
    <w:rsid w:val="007A6E71"/>
    <w:rsid w:val="007A705F"/>
    <w:rsid w:val="007B4BB5"/>
    <w:rsid w:val="007C2A7D"/>
    <w:rsid w:val="007C767D"/>
    <w:rsid w:val="007D02BF"/>
    <w:rsid w:val="007D25CA"/>
    <w:rsid w:val="007D4A98"/>
    <w:rsid w:val="007D7146"/>
    <w:rsid w:val="007E0979"/>
    <w:rsid w:val="007E5EE5"/>
    <w:rsid w:val="00807BF4"/>
    <w:rsid w:val="00814F0E"/>
    <w:rsid w:val="008163C9"/>
    <w:rsid w:val="0082295D"/>
    <w:rsid w:val="008250D0"/>
    <w:rsid w:val="008276AC"/>
    <w:rsid w:val="00843FA6"/>
    <w:rsid w:val="00844D35"/>
    <w:rsid w:val="0085195B"/>
    <w:rsid w:val="00853DC2"/>
    <w:rsid w:val="0085456A"/>
    <w:rsid w:val="00863433"/>
    <w:rsid w:val="008641B9"/>
    <w:rsid w:val="00865186"/>
    <w:rsid w:val="0086770A"/>
    <w:rsid w:val="00872073"/>
    <w:rsid w:val="00875328"/>
    <w:rsid w:val="0087607E"/>
    <w:rsid w:val="0087676A"/>
    <w:rsid w:val="00896836"/>
    <w:rsid w:val="008C157E"/>
    <w:rsid w:val="008C3CF3"/>
    <w:rsid w:val="008D1CC8"/>
    <w:rsid w:val="008D355E"/>
    <w:rsid w:val="008E0E39"/>
    <w:rsid w:val="008E25B0"/>
    <w:rsid w:val="008E46AA"/>
    <w:rsid w:val="008E74E3"/>
    <w:rsid w:val="008F133B"/>
    <w:rsid w:val="008F53E0"/>
    <w:rsid w:val="008F77E9"/>
    <w:rsid w:val="00907277"/>
    <w:rsid w:val="00907EAA"/>
    <w:rsid w:val="009113EB"/>
    <w:rsid w:val="00916865"/>
    <w:rsid w:val="0093127F"/>
    <w:rsid w:val="0093528F"/>
    <w:rsid w:val="009355FF"/>
    <w:rsid w:val="0094297C"/>
    <w:rsid w:val="00944E10"/>
    <w:rsid w:val="0094528D"/>
    <w:rsid w:val="009453D3"/>
    <w:rsid w:val="00946F16"/>
    <w:rsid w:val="0094789B"/>
    <w:rsid w:val="00953ECC"/>
    <w:rsid w:val="0095771A"/>
    <w:rsid w:val="00961D0C"/>
    <w:rsid w:val="00962015"/>
    <w:rsid w:val="009704B5"/>
    <w:rsid w:val="009971D4"/>
    <w:rsid w:val="009B7C5B"/>
    <w:rsid w:val="009F2FFA"/>
    <w:rsid w:val="009F3BAC"/>
    <w:rsid w:val="009F440C"/>
    <w:rsid w:val="00A017E8"/>
    <w:rsid w:val="00A0202B"/>
    <w:rsid w:val="00A10C38"/>
    <w:rsid w:val="00A16F3A"/>
    <w:rsid w:val="00A25CFC"/>
    <w:rsid w:val="00A27A48"/>
    <w:rsid w:val="00A375D0"/>
    <w:rsid w:val="00A72D73"/>
    <w:rsid w:val="00A808C0"/>
    <w:rsid w:val="00A80F53"/>
    <w:rsid w:val="00A8112D"/>
    <w:rsid w:val="00A84800"/>
    <w:rsid w:val="00A92C5B"/>
    <w:rsid w:val="00AA1FAE"/>
    <w:rsid w:val="00AB7BAB"/>
    <w:rsid w:val="00AD6046"/>
    <w:rsid w:val="00AD7852"/>
    <w:rsid w:val="00AE6666"/>
    <w:rsid w:val="00AF5EF9"/>
    <w:rsid w:val="00AF6BE0"/>
    <w:rsid w:val="00B107B3"/>
    <w:rsid w:val="00B129AA"/>
    <w:rsid w:val="00B13708"/>
    <w:rsid w:val="00B1528B"/>
    <w:rsid w:val="00B212CD"/>
    <w:rsid w:val="00B33EC5"/>
    <w:rsid w:val="00B36904"/>
    <w:rsid w:val="00B37955"/>
    <w:rsid w:val="00B439DE"/>
    <w:rsid w:val="00B4541B"/>
    <w:rsid w:val="00B50783"/>
    <w:rsid w:val="00B70DC7"/>
    <w:rsid w:val="00B81753"/>
    <w:rsid w:val="00B835BC"/>
    <w:rsid w:val="00B85CCC"/>
    <w:rsid w:val="00B86C66"/>
    <w:rsid w:val="00B95410"/>
    <w:rsid w:val="00BA350D"/>
    <w:rsid w:val="00BB1A27"/>
    <w:rsid w:val="00BB23D2"/>
    <w:rsid w:val="00BE2C11"/>
    <w:rsid w:val="00BE44C2"/>
    <w:rsid w:val="00BF58A7"/>
    <w:rsid w:val="00C039D3"/>
    <w:rsid w:val="00C07AC0"/>
    <w:rsid w:val="00C13452"/>
    <w:rsid w:val="00C17970"/>
    <w:rsid w:val="00C2045E"/>
    <w:rsid w:val="00C21308"/>
    <w:rsid w:val="00C40C2D"/>
    <w:rsid w:val="00C478CF"/>
    <w:rsid w:val="00C5333A"/>
    <w:rsid w:val="00C54067"/>
    <w:rsid w:val="00C575C2"/>
    <w:rsid w:val="00C634AB"/>
    <w:rsid w:val="00C63E75"/>
    <w:rsid w:val="00C6497B"/>
    <w:rsid w:val="00C67A32"/>
    <w:rsid w:val="00C723C1"/>
    <w:rsid w:val="00C9776C"/>
    <w:rsid w:val="00CA0F83"/>
    <w:rsid w:val="00CA17BB"/>
    <w:rsid w:val="00CA29FD"/>
    <w:rsid w:val="00CA4008"/>
    <w:rsid w:val="00CB1065"/>
    <w:rsid w:val="00CB53EB"/>
    <w:rsid w:val="00CB6D6D"/>
    <w:rsid w:val="00CC066A"/>
    <w:rsid w:val="00CC35A5"/>
    <w:rsid w:val="00CC681B"/>
    <w:rsid w:val="00CD0B59"/>
    <w:rsid w:val="00CD4BEA"/>
    <w:rsid w:val="00CE6DDA"/>
    <w:rsid w:val="00CF0C57"/>
    <w:rsid w:val="00CF4393"/>
    <w:rsid w:val="00CF7953"/>
    <w:rsid w:val="00D010E1"/>
    <w:rsid w:val="00D041B8"/>
    <w:rsid w:val="00D13E1A"/>
    <w:rsid w:val="00D14893"/>
    <w:rsid w:val="00D24143"/>
    <w:rsid w:val="00D33542"/>
    <w:rsid w:val="00D41E69"/>
    <w:rsid w:val="00D46A2D"/>
    <w:rsid w:val="00D52ECD"/>
    <w:rsid w:val="00D55749"/>
    <w:rsid w:val="00D56EEB"/>
    <w:rsid w:val="00D606E7"/>
    <w:rsid w:val="00D65A26"/>
    <w:rsid w:val="00D67B0B"/>
    <w:rsid w:val="00D76F5E"/>
    <w:rsid w:val="00D82A93"/>
    <w:rsid w:val="00D93B96"/>
    <w:rsid w:val="00D94E82"/>
    <w:rsid w:val="00DA3AC9"/>
    <w:rsid w:val="00DA4CBF"/>
    <w:rsid w:val="00DC0CCC"/>
    <w:rsid w:val="00DC49C4"/>
    <w:rsid w:val="00DD1680"/>
    <w:rsid w:val="00DD66FB"/>
    <w:rsid w:val="00DE45A1"/>
    <w:rsid w:val="00DE46E7"/>
    <w:rsid w:val="00DE51D9"/>
    <w:rsid w:val="00DE5AD2"/>
    <w:rsid w:val="00E00F4E"/>
    <w:rsid w:val="00E07EA8"/>
    <w:rsid w:val="00E11C4C"/>
    <w:rsid w:val="00E13000"/>
    <w:rsid w:val="00E141DB"/>
    <w:rsid w:val="00E1434F"/>
    <w:rsid w:val="00E20606"/>
    <w:rsid w:val="00E22BC0"/>
    <w:rsid w:val="00E34C18"/>
    <w:rsid w:val="00E6045E"/>
    <w:rsid w:val="00E66A53"/>
    <w:rsid w:val="00E84704"/>
    <w:rsid w:val="00EB3D33"/>
    <w:rsid w:val="00EC0595"/>
    <w:rsid w:val="00ED77B0"/>
    <w:rsid w:val="00ED7EF0"/>
    <w:rsid w:val="00EE1D9D"/>
    <w:rsid w:val="00EE3503"/>
    <w:rsid w:val="00EE592A"/>
    <w:rsid w:val="00EF1F97"/>
    <w:rsid w:val="00EF21F9"/>
    <w:rsid w:val="00F002FC"/>
    <w:rsid w:val="00F04285"/>
    <w:rsid w:val="00F0508B"/>
    <w:rsid w:val="00F05886"/>
    <w:rsid w:val="00F102FC"/>
    <w:rsid w:val="00F10E45"/>
    <w:rsid w:val="00F1397C"/>
    <w:rsid w:val="00F14CE9"/>
    <w:rsid w:val="00F17734"/>
    <w:rsid w:val="00F20BA0"/>
    <w:rsid w:val="00F257BC"/>
    <w:rsid w:val="00F3051D"/>
    <w:rsid w:val="00F37CC7"/>
    <w:rsid w:val="00F424EA"/>
    <w:rsid w:val="00F549AD"/>
    <w:rsid w:val="00F61DCF"/>
    <w:rsid w:val="00F7345A"/>
    <w:rsid w:val="00F75B19"/>
    <w:rsid w:val="00F80AC8"/>
    <w:rsid w:val="00F85922"/>
    <w:rsid w:val="00F8649F"/>
    <w:rsid w:val="00F8770E"/>
    <w:rsid w:val="00F96421"/>
    <w:rsid w:val="00FA1FDA"/>
    <w:rsid w:val="00FA3EB2"/>
    <w:rsid w:val="00FB5A50"/>
    <w:rsid w:val="00FB6A2F"/>
    <w:rsid w:val="00FB78D1"/>
    <w:rsid w:val="00FC044E"/>
    <w:rsid w:val="00FC6547"/>
    <w:rsid w:val="00FD04CD"/>
    <w:rsid w:val="00FD36B9"/>
    <w:rsid w:val="00FF0963"/>
    <w:rsid w:val="00F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270">
      <w:bodyDiv w:val="1"/>
      <w:marLeft w:val="0"/>
      <w:marRight w:val="0"/>
      <w:marTop w:val="0"/>
      <w:marBottom w:val="0"/>
      <w:divBdr>
        <w:top w:val="none" w:sz="0" w:space="0" w:color="auto"/>
        <w:left w:val="none" w:sz="0" w:space="0" w:color="auto"/>
        <w:bottom w:val="none" w:sz="0" w:space="0" w:color="auto"/>
        <w:right w:val="none" w:sz="0" w:space="0" w:color="auto"/>
      </w:divBdr>
    </w:div>
    <w:div w:id="74464491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651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2012&#24180;&#24230;\WIS&#12527;&#12540;&#12463;&#12471;&#12519;&#12483;&#12503;\&#21442;&#21152;&#32773;&#12450;&#12531;&#12465;&#12540;&#12488;\Results%20of%20JMA%20WIS%20Workshop%20Questionnaire_an_ver0_0.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2012&#24180;&#24230;\WIS&#12527;&#12540;&#12463;&#12471;&#12519;&#12483;&#12503;\&#21442;&#21152;&#32773;&#12450;&#12531;&#12465;&#12540;&#12488;\Results%20of%20JMA%20WIS%20Workshop%20Questionnaire_an_ver0_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2012&#24180;&#24230;\WIS&#12527;&#12540;&#12463;&#12471;&#12519;&#12483;&#12503;\&#21442;&#21152;&#32773;&#12450;&#12531;&#12465;&#12540;&#12488;\Results%20of%20JMA%20WIS%20Workshop%20Questionnaire_an_ver0_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ja-JP" sz="1600"/>
            </a:pPr>
            <a:r>
              <a:rPr lang="en-US" sz="1200">
                <a:latin typeface="Arial" pitchFamily="34" charset="0"/>
                <a:cs typeface="Arial" pitchFamily="34" charset="0"/>
              </a:rPr>
              <a:t>Evaluation on the Workshop Organization</a:t>
            </a:r>
            <a:endParaRPr lang="ja-JP"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'Check box'!$K$30:$K$33</c:f>
              <c:strCache>
                <c:ptCount val="1"/>
                <c:pt idx="0">
                  <c:v>0 1 29 70</c:v>
                </c:pt>
              </c:strCache>
            </c:strRef>
          </c:tx>
          <c:dLbls>
            <c:dLbl>
              <c:idx val="0"/>
              <c:delete val="1"/>
            </c:dLbl>
            <c:dLbl>
              <c:idx val="1"/>
              <c:layout>
                <c:manualLayout>
                  <c:x val="-1.669270507853185E-2"/>
                  <c:y val="1.3422049181121732E-2"/>
                </c:manualLayout>
              </c:layout>
              <c:tx>
                <c:rich>
                  <a:bodyPr/>
                  <a:lstStyle/>
                  <a:p>
                    <a:r>
                      <a:rPr lang="en-US" altLang="ja-JP" sz="1100">
                        <a:latin typeface="Arial" pitchFamily="34" charset="0"/>
                        <a:cs typeface="Arial" pitchFamily="34" charset="0"/>
                      </a:rPr>
                      <a:t>1</a:t>
                    </a:r>
                    <a:r>
                      <a:rPr lang="en-US" altLang="ja-JP" sz="1000"/>
                      <a:t>%</a:t>
                    </a:r>
                  </a:p>
                </c:rich>
              </c:tx>
              <c:showLegendKey val="0"/>
              <c:showVal val="0"/>
              <c:showCatName val="0"/>
              <c:showSerName val="0"/>
              <c:showPercent val="1"/>
              <c:showBubbleSize val="0"/>
            </c:dLbl>
            <c:dLbl>
              <c:idx val="2"/>
              <c:layout>
                <c:manualLayout>
                  <c:x val="-0.10036839145106859"/>
                  <c:y val="6.3816912184869901E-2"/>
                </c:manualLayout>
              </c:layout>
              <c:showLegendKey val="0"/>
              <c:showVal val="0"/>
              <c:showCatName val="0"/>
              <c:showSerName val="0"/>
              <c:showPercent val="1"/>
              <c:showBubbleSize val="0"/>
            </c:dLbl>
            <c:dLbl>
              <c:idx val="3"/>
              <c:layout>
                <c:manualLayout>
                  <c:x val="0.19658969712119331"/>
                  <c:y val="-0.19933211300616949"/>
                </c:manualLayout>
              </c:layout>
              <c:showLegendKey val="0"/>
              <c:showVal val="0"/>
              <c:showCatName val="0"/>
              <c:showSerName val="0"/>
              <c:showPercent val="1"/>
              <c:showBubbleSize val="0"/>
            </c:dLbl>
            <c:txPr>
              <a:bodyPr/>
              <a:lstStyle/>
              <a:p>
                <a:pPr>
                  <a:defRPr lang="ja-JP" sz="1100"/>
                </a:pPr>
                <a:endParaRPr lang="en-US"/>
              </a:p>
            </c:txPr>
            <c:showLegendKey val="0"/>
            <c:showVal val="0"/>
            <c:showCatName val="0"/>
            <c:showSerName val="0"/>
            <c:showPercent val="1"/>
            <c:showBubbleSize val="0"/>
            <c:showLeaderLines val="1"/>
          </c:dLbls>
          <c:cat>
            <c:strRef>
              <c:f>'Check box'!$A$30:$A$33</c:f>
              <c:strCache>
                <c:ptCount val="4"/>
                <c:pt idx="0">
                  <c:v>POOR</c:v>
                </c:pt>
                <c:pt idx="1">
                  <c:v>ACCEPTABLE</c:v>
                </c:pt>
                <c:pt idx="2">
                  <c:v>GOOD</c:v>
                </c:pt>
                <c:pt idx="3">
                  <c:v>EXCELLENT</c:v>
                </c:pt>
              </c:strCache>
            </c:strRef>
          </c:cat>
          <c:val>
            <c:numRef>
              <c:f>'Check box'!$K$30:$K$33</c:f>
              <c:numCache>
                <c:formatCode>General</c:formatCode>
                <c:ptCount val="4"/>
                <c:pt idx="0">
                  <c:v>0</c:v>
                </c:pt>
                <c:pt idx="1">
                  <c:v>1</c:v>
                </c:pt>
                <c:pt idx="2">
                  <c:v>29</c:v>
                </c:pt>
                <c:pt idx="3">
                  <c:v>70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424491235947995"/>
          <c:y val="0.69235627625019946"/>
          <c:w val="0.26525543777496247"/>
          <c:h val="0.26009445501494982"/>
        </c:manualLayout>
      </c:layout>
      <c:overlay val="0"/>
      <c:txPr>
        <a:bodyPr/>
        <a:lstStyle/>
        <a:p>
          <a:pPr>
            <a:defRPr lang="ja-JP"/>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1600"/>
            </a:pPr>
            <a:r>
              <a:rPr lang="en-US" altLang="ja-JP" sz="1200" b="1" i="0" u="none" strike="noStrike" baseline="0" dirty="0" smtClean="0">
                <a:latin typeface="Arial" pitchFamily="34" charset="0"/>
                <a:cs typeface="Arial" pitchFamily="34" charset="0"/>
              </a:rPr>
              <a:t>Evaluation </a:t>
            </a:r>
            <a:r>
              <a:rPr lang="en-US" altLang="ja-JP" sz="1200" b="1" i="0" u="none" strike="noStrike" baseline="0" dirty="0">
                <a:latin typeface="Arial" pitchFamily="34" charset="0"/>
                <a:cs typeface="Arial" pitchFamily="34" charset="0"/>
              </a:rPr>
              <a:t>on the Workshop Contents</a:t>
            </a:r>
            <a:endParaRPr lang="ja-JP" altLang="en-US" sz="1200" dirty="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delete val="1"/>
            </c:dLbl>
            <c:dLbl>
              <c:idx val="1"/>
              <c:tx>
                <c:rich>
                  <a:bodyPr/>
                  <a:lstStyle/>
                  <a:p>
                    <a:r>
                      <a:rPr lang="en-US" altLang="ja-JP" sz="1050">
                        <a:latin typeface="Arial" pitchFamily="34" charset="0"/>
                        <a:cs typeface="Arial" pitchFamily="34" charset="0"/>
                      </a:rPr>
                      <a:t>6</a:t>
                    </a:r>
                    <a:r>
                      <a:rPr lang="en-US" altLang="ja-JP" sz="1050"/>
                      <a:t>%</a:t>
                    </a:r>
                    <a:endParaRPr lang="en-US" altLang="ja-JP" sz="1600"/>
                  </a:p>
                </c:rich>
              </c:tx>
              <c:showLegendKey val="0"/>
              <c:showVal val="0"/>
              <c:showCatName val="0"/>
              <c:showSerName val="0"/>
              <c:showPercent val="1"/>
              <c:showBubbleSize val="0"/>
            </c:dLbl>
            <c:dLbl>
              <c:idx val="4"/>
              <c:layout>
                <c:manualLayout>
                  <c:x val="7.7427821522309731E-2"/>
                  <c:y val="0.12736849674612608"/>
                </c:manualLayout>
              </c:layout>
              <c:showLegendKey val="0"/>
              <c:showVal val="0"/>
              <c:showCatName val="0"/>
              <c:showSerName val="0"/>
              <c:showPercent val="1"/>
              <c:showBubbleSize val="0"/>
            </c:dLbl>
            <c:txPr>
              <a:bodyPr/>
              <a:lstStyle/>
              <a:p>
                <a:pPr>
                  <a:defRPr lang="ja-JP" sz="1050" baseline="0">
                    <a:latin typeface="Arial" pitchFamily="34" charset="0"/>
                    <a:cs typeface="Arial" pitchFamily="34" charset="0"/>
                  </a:defRPr>
                </a:pPr>
                <a:endParaRPr lang="en-US"/>
              </a:p>
            </c:txPr>
            <c:showLegendKey val="0"/>
            <c:showVal val="0"/>
            <c:showCatName val="0"/>
            <c:showSerName val="0"/>
            <c:showPercent val="1"/>
            <c:showBubbleSize val="0"/>
            <c:showLeaderLines val="1"/>
          </c:dLbls>
          <c:cat>
            <c:strRef>
              <c:f>'Check box'!$A$35:$A$39</c:f>
              <c:strCache>
                <c:ptCount val="5"/>
                <c:pt idx="0">
                  <c:v>TOO LITTLE</c:v>
                </c:pt>
                <c:pt idx="1">
                  <c:v>LITTLE</c:v>
                </c:pt>
                <c:pt idx="2">
                  <c:v>SUITABLE</c:v>
                </c:pt>
                <c:pt idx="3">
                  <c:v>MUCH</c:v>
                </c:pt>
                <c:pt idx="4">
                  <c:v>TOO MUCH</c:v>
                </c:pt>
              </c:strCache>
            </c:strRef>
          </c:cat>
          <c:val>
            <c:numRef>
              <c:f>'Check box'!$AD$25:$AD$29</c:f>
              <c:numCache>
                <c:formatCode>General</c:formatCode>
                <c:ptCount val="5"/>
                <c:pt idx="0">
                  <c:v>0</c:v>
                </c:pt>
                <c:pt idx="1">
                  <c:v>9</c:v>
                </c:pt>
                <c:pt idx="2">
                  <c:v>91</c:v>
                </c:pt>
                <c:pt idx="3">
                  <c:v>33</c:v>
                </c:pt>
                <c:pt idx="4">
                  <c:v>15</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68207685851895805"/>
          <c:y val="0.57241613633912203"/>
          <c:w val="0.2454134170092285"/>
          <c:h val="0.33893879965429435"/>
        </c:manualLayout>
      </c:layout>
      <c:overlay val="0"/>
      <c:txPr>
        <a:bodyPr/>
        <a:lstStyle/>
        <a:p>
          <a:pPr>
            <a:defRPr lang="ja-JP"/>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ja-JP" sz="1600"/>
            </a:pPr>
            <a:r>
              <a:rPr lang="en-US" sz="1200">
                <a:latin typeface="Arial" pitchFamily="34" charset="0"/>
                <a:cs typeface="Arial" pitchFamily="34" charset="0"/>
              </a:rPr>
              <a:t>Listed presentations that participants think important </a:t>
            </a:r>
          </a:p>
          <a:p>
            <a:pPr>
              <a:defRPr lang="ja-JP" sz="1600"/>
            </a:pPr>
            <a:r>
              <a:rPr lang="en-US" sz="1200">
                <a:latin typeface="Arial" pitchFamily="34" charset="0"/>
                <a:cs typeface="Arial" pitchFamily="34" charset="0"/>
              </a:rPr>
              <a:t>for WIS implementation</a:t>
            </a:r>
            <a:endParaRPr lang="ja-JP"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'Check box'!$B$37:$P$37</c:f>
              <c:strCache>
                <c:ptCount val="1"/>
                <c:pt idx="0">
                  <c:v>4 2 7 6 5 3 1 3 2 1 3 1 5 5 1</c:v>
                </c:pt>
              </c:strCache>
            </c:strRef>
          </c:tx>
          <c:invertIfNegative val="0"/>
          <c:cat>
            <c:numRef>
              <c:f>'Check box'!$B$36:$P$36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'Check box'!$B$37:$P$37</c:f>
              <c:numCache>
                <c:formatCode>General</c:formatCode>
                <c:ptCount val="15"/>
                <c:pt idx="0">
                  <c:v>4</c:v>
                </c:pt>
                <c:pt idx="1">
                  <c:v>2</c:v>
                </c:pt>
                <c:pt idx="2">
                  <c:v>7</c:v>
                </c:pt>
                <c:pt idx="3">
                  <c:v>6</c:v>
                </c:pt>
                <c:pt idx="4">
                  <c:v>5</c:v>
                </c:pt>
                <c:pt idx="5">
                  <c:v>3</c:v>
                </c:pt>
                <c:pt idx="6">
                  <c:v>1</c:v>
                </c:pt>
                <c:pt idx="7">
                  <c:v>3</c:v>
                </c:pt>
                <c:pt idx="8">
                  <c:v>2</c:v>
                </c:pt>
                <c:pt idx="9">
                  <c:v>1</c:v>
                </c:pt>
                <c:pt idx="10">
                  <c:v>3</c:v>
                </c:pt>
                <c:pt idx="11">
                  <c:v>1</c:v>
                </c:pt>
                <c:pt idx="12">
                  <c:v>5</c:v>
                </c:pt>
                <c:pt idx="13">
                  <c:v>5</c:v>
                </c:pt>
                <c:pt idx="14">
                  <c:v>1</c:v>
                </c:pt>
              </c:numCache>
            </c:numRef>
          </c:val>
        </c:ser>
        <c:dLbls>
          <c:showLegendKey val="0"/>
          <c:showVal val="0"/>
          <c:showCatName val="0"/>
          <c:showSerName val="0"/>
          <c:showPercent val="0"/>
          <c:showBubbleSize val="0"/>
        </c:dLbls>
        <c:gapWidth val="150"/>
        <c:axId val="223356032"/>
        <c:axId val="223357568"/>
      </c:barChart>
      <c:catAx>
        <c:axId val="223356032"/>
        <c:scaling>
          <c:orientation val="minMax"/>
        </c:scaling>
        <c:delete val="0"/>
        <c:axPos val="b"/>
        <c:numFmt formatCode="General" sourceLinked="1"/>
        <c:majorTickMark val="out"/>
        <c:minorTickMark val="none"/>
        <c:tickLblPos val="nextTo"/>
        <c:txPr>
          <a:bodyPr/>
          <a:lstStyle/>
          <a:p>
            <a:pPr>
              <a:defRPr lang="ja-JP"/>
            </a:pPr>
            <a:endParaRPr lang="en-US"/>
          </a:p>
        </c:txPr>
        <c:crossAx val="223357568"/>
        <c:crosses val="autoZero"/>
        <c:auto val="1"/>
        <c:lblAlgn val="ctr"/>
        <c:lblOffset val="100"/>
        <c:noMultiLvlLbl val="0"/>
      </c:catAx>
      <c:valAx>
        <c:axId val="223357568"/>
        <c:scaling>
          <c:orientation val="minMax"/>
        </c:scaling>
        <c:delete val="0"/>
        <c:axPos val="l"/>
        <c:majorGridlines/>
        <c:numFmt formatCode="General" sourceLinked="1"/>
        <c:majorTickMark val="out"/>
        <c:minorTickMark val="none"/>
        <c:tickLblPos val="nextTo"/>
        <c:txPr>
          <a:bodyPr/>
          <a:lstStyle/>
          <a:p>
            <a:pPr>
              <a:defRPr lang="ja-JP"/>
            </a:pPr>
            <a:endParaRPr lang="en-US"/>
          </a:p>
        </c:txPr>
        <c:crossAx val="223356032"/>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C6D5C-7F07-421E-BBC6-7700E2D8C152}">
  <ds:schemaRefs>
    <ds:schemaRef ds:uri="http://schemas.openxmlformats.org/officeDocument/2006/bibliography"/>
  </ds:schemaRefs>
</ds:datastoreItem>
</file>

<file path=customXml/itemProps2.xml><?xml version="1.0" encoding="utf-8"?>
<ds:datastoreItem xmlns:ds="http://schemas.openxmlformats.org/officeDocument/2006/customXml" ds:itemID="{6F2D7811-C705-4C19-9DFB-3BB1BAD0799E}"/>
</file>

<file path=customXml/itemProps3.xml><?xml version="1.0" encoding="utf-8"?>
<ds:datastoreItem xmlns:ds="http://schemas.openxmlformats.org/officeDocument/2006/customXml" ds:itemID="{A244921A-DE18-41FC-9771-99F340D939C6}"/>
</file>

<file path=customXml/itemProps4.xml><?xml version="1.0" encoding="utf-8"?>
<ds:datastoreItem xmlns:ds="http://schemas.openxmlformats.org/officeDocument/2006/customXml" ds:itemID="{247190DD-21CB-45FC-95AB-92F56A85BCE0}"/>
</file>

<file path=docProps/app.xml><?xml version="1.0" encoding="utf-8"?>
<Properties xmlns="http://schemas.openxmlformats.org/officeDocument/2006/extended-properties" xmlns:vt="http://schemas.openxmlformats.org/officeDocument/2006/docPropsVTypes">
  <Template>Normal.dotm</Template>
  <TotalTime>2</TotalTime>
  <Pages>4</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WMO</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GISC workshops and training activities (JMA)</dc:subject>
  <dc:creator>Kenji KOSUGE </dc:creator>
  <cp:keywords/>
  <dc:description/>
  <cp:lastModifiedBy>David Thomas</cp:lastModifiedBy>
  <cp:revision>3</cp:revision>
  <cp:lastPrinted>2013-06-11T05:39:00Z</cp:lastPrinted>
  <dcterms:created xsi:type="dcterms:W3CDTF">2013-07-06T09:25:00Z</dcterms:created>
  <dcterms:modified xsi:type="dcterms:W3CDTF">2013-07-06T09:26:00Z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